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50A04342" w14:textId="77777777" w:rsidR="00000000" w:rsidRDefault="00000000">
      <w:pPr>
        <w:jc w:val="center"/>
      </w:pPr>
      <w:r>
        <w:rPr>
          <w:b/>
          <w:i/>
          <w:sz w:val="40"/>
          <w:szCs w:val="40"/>
        </w:rPr>
        <w:t>Tempus tacendi, tempus loquendi</w:t>
      </w:r>
    </w:p>
    <w:p w14:paraId="2F41229B" w14:textId="77777777" w:rsidR="00000000" w:rsidRDefault="00000000">
      <w:pPr>
        <w:jc w:val="center"/>
      </w:pPr>
      <w:r>
        <w:rPr>
          <w:b/>
          <w:sz w:val="40"/>
          <w:szCs w:val="40"/>
        </w:rPr>
        <w:t>San Lorenzo 1849-1947</w:t>
      </w:r>
    </w:p>
    <w:p w14:paraId="70D94FCD" w14:textId="77777777" w:rsidR="00000000" w:rsidRDefault="00000000">
      <w:pPr>
        <w:ind w:firstLine="708"/>
        <w:jc w:val="both"/>
        <w:rPr>
          <w:b/>
          <w:sz w:val="40"/>
          <w:szCs w:val="40"/>
        </w:rPr>
      </w:pPr>
    </w:p>
    <w:p w14:paraId="5BD74DDA" w14:textId="77777777" w:rsidR="00000000" w:rsidRDefault="00000000">
      <w:pPr>
        <w:ind w:firstLine="708"/>
        <w:jc w:val="both"/>
        <w:rPr>
          <w:sz w:val="40"/>
          <w:szCs w:val="40"/>
        </w:rPr>
      </w:pPr>
    </w:p>
    <w:p w14:paraId="6DD29110" w14:textId="77777777" w:rsidR="00000000" w:rsidRDefault="00000000">
      <w:pPr>
        <w:ind w:firstLine="708"/>
        <w:jc w:val="both"/>
      </w:pPr>
      <w:r>
        <w:rPr>
          <w:sz w:val="40"/>
          <w:szCs w:val="40"/>
        </w:rPr>
        <w:t>Il Capitolo, la parrocchia e il popolo di San Lorenzo, unitamente al complesso laurenziano e alle ricchezze storico-artistiche che esso contiene, costituiscono nel loro insieme una realtà estremamente articolata. Vari studi, sia circoscritti che di respiro generale, si sono concentrati su periodi che vanno dalle origini al XVIII secolo, privilegiando, a seconda degli ambiti, momenti più specifici. Complici di queste predilezioni storiche, sono stati sicuramente i grandi strumenti eruditi settecenteschi che hanno inciso in modo determinante sulla metodologia e sulla formazione culturale delle successive generazioni</w:t>
      </w:r>
      <w:r>
        <w:rPr>
          <w:rStyle w:val="FootnoteCharacters"/>
          <w:sz w:val="40"/>
          <w:szCs w:val="40"/>
        </w:rPr>
        <w:footnoteReference w:id="1"/>
      </w:r>
      <w:r>
        <w:rPr>
          <w:sz w:val="40"/>
          <w:szCs w:val="40"/>
        </w:rPr>
        <w:t xml:space="preserve">. </w:t>
      </w:r>
    </w:p>
    <w:p w14:paraId="42141018" w14:textId="77777777" w:rsidR="00000000" w:rsidRDefault="00000000">
      <w:pPr>
        <w:ind w:firstLine="708"/>
        <w:jc w:val="both"/>
      </w:pPr>
      <w:r>
        <w:rPr>
          <w:sz w:val="40"/>
          <w:szCs w:val="40"/>
        </w:rPr>
        <w:t>Relativamente  da poco, in concomitanza con le celebrazioni per il sedicesimo centenario della fondazione della Basilica, si sono intensificati gli studi su periodi più recenti. A dare le mosse a questo nuovo interesse sono stati soprattutto gli storici dell’architettura che hanno colto alcuni momenti salienti dei restauri e delle trasformazioni del complesso laurenziano nell’Ottocento e nel Novecento</w:t>
      </w:r>
      <w:r>
        <w:rPr>
          <w:rStyle w:val="FootnoteCharacters"/>
          <w:sz w:val="40"/>
          <w:szCs w:val="40"/>
        </w:rPr>
        <w:footnoteReference w:id="2"/>
      </w:r>
      <w:r>
        <w:rPr>
          <w:sz w:val="40"/>
          <w:szCs w:val="40"/>
        </w:rPr>
        <w:t>. Altri studi si sono poi concentrati su alcuni aspetti relativi alla parrocchia e al parroco monsignor Angiolo Livi</w:t>
      </w:r>
      <w:r>
        <w:rPr>
          <w:rStyle w:val="FootnoteCharacters"/>
          <w:sz w:val="40"/>
          <w:szCs w:val="40"/>
        </w:rPr>
        <w:footnoteReference w:id="3"/>
      </w:r>
      <w:r>
        <w:rPr>
          <w:sz w:val="40"/>
          <w:szCs w:val="40"/>
        </w:rPr>
        <w:t xml:space="preserve">. </w:t>
      </w:r>
    </w:p>
    <w:p w14:paraId="16BA372C" w14:textId="77777777" w:rsidR="00000000" w:rsidRDefault="00000000">
      <w:pPr>
        <w:ind w:firstLine="708"/>
        <w:jc w:val="both"/>
      </w:pPr>
      <w:r>
        <w:rPr>
          <w:sz w:val="40"/>
          <w:szCs w:val="40"/>
        </w:rPr>
        <w:t xml:space="preserve">Poco o niente è stato scritto sull’ultimo periodo di vita del Capitolo, sulla parrocchia e sulle associazioni laicali </w:t>
      </w:r>
      <w:r>
        <w:rPr>
          <w:sz w:val="40"/>
          <w:szCs w:val="40"/>
        </w:rPr>
        <w:lastRenderedPageBreak/>
        <w:t>durante l’Ottocento e il Novecento, un periodo denso di profondi mutamenti</w:t>
      </w:r>
      <w:r>
        <w:rPr>
          <w:rStyle w:val="FootnoteCharacters"/>
          <w:sz w:val="40"/>
          <w:szCs w:val="40"/>
        </w:rPr>
        <w:footnoteReference w:id="4"/>
      </w:r>
      <w:r>
        <w:rPr>
          <w:sz w:val="40"/>
          <w:szCs w:val="40"/>
        </w:rPr>
        <w:t xml:space="preserve">. </w:t>
      </w:r>
    </w:p>
    <w:p w14:paraId="00E34D48" w14:textId="77777777" w:rsidR="00000000" w:rsidRDefault="00000000">
      <w:pPr>
        <w:ind w:firstLine="708"/>
        <w:jc w:val="both"/>
      </w:pPr>
      <w:r>
        <w:rPr>
          <w:sz w:val="40"/>
          <w:szCs w:val="40"/>
        </w:rPr>
        <w:t xml:space="preserve">Il mio contributo cercherà quindi di segnalare i più importanti  cambiamenti che hanno coinvolto persone ed istituzioni di San Lorenzo dalla prima metà del XIX secolo fino alla fine della seconda guerra mondiale. Questo lavoro, lontano dal voler essere esaustivo, ha solo l’ambizione di </w:t>
      </w:r>
      <w:r>
        <w:rPr>
          <w:i/>
          <w:sz w:val="40"/>
          <w:szCs w:val="40"/>
        </w:rPr>
        <w:t xml:space="preserve">iniziare </w:t>
      </w:r>
      <w:r>
        <w:rPr>
          <w:sz w:val="40"/>
          <w:szCs w:val="40"/>
        </w:rPr>
        <w:t xml:space="preserve">a fare chiarezza su alcuni punti cruciali, ponendo sul tappeto questioni che dovrebbero essere oggetto di nuovi interessi storiografici. Esso si configura come una prima ricognizione operata direttamente sulle carte e in particolar modo sui documenti conservati presso il l’Archivio della basilica di san Lorenzo, dove,  come spesso accade, la documentazione risulta abbondante per alcuni temi, mentre manca completamente per altri. In questo gioco di pieni e di vuoti, di chiari e di scuri, di palese e di non detto si è mossa la mia ricerca, particolarmente attenta alle omissioni e ai silenzi delle carte che sono divenuti contemporaneamente spie e bussole per il mio lavoro. </w:t>
      </w:r>
    </w:p>
    <w:p w14:paraId="2B1882C6" w14:textId="77777777" w:rsidR="00000000" w:rsidRDefault="00000000">
      <w:pPr>
        <w:jc w:val="both"/>
        <w:rPr>
          <w:sz w:val="40"/>
          <w:szCs w:val="40"/>
        </w:rPr>
      </w:pPr>
    </w:p>
    <w:p w14:paraId="665DA192" w14:textId="77777777" w:rsidR="00000000" w:rsidRDefault="00000000">
      <w:pPr>
        <w:ind w:firstLine="708"/>
        <w:jc w:val="both"/>
        <w:rPr>
          <w:sz w:val="40"/>
          <w:szCs w:val="40"/>
        </w:rPr>
      </w:pPr>
    </w:p>
    <w:p w14:paraId="310C59DC" w14:textId="77777777" w:rsidR="00000000" w:rsidRDefault="00000000">
      <w:pPr>
        <w:pStyle w:val="Titolo3"/>
        <w:ind w:firstLine="0"/>
      </w:pPr>
      <w:r>
        <w:rPr>
          <w:sz w:val="40"/>
          <w:szCs w:val="40"/>
        </w:rPr>
        <w:t>Il capitolo laurenziano tra i  Lorena e i Savoia</w:t>
      </w:r>
    </w:p>
    <w:p w14:paraId="41E019CC" w14:textId="77777777" w:rsidR="00000000" w:rsidRDefault="00000000">
      <w:pPr>
        <w:ind w:firstLine="708"/>
        <w:jc w:val="both"/>
      </w:pPr>
      <w:r>
        <w:rPr>
          <w:sz w:val="40"/>
          <w:szCs w:val="40"/>
        </w:rPr>
        <w:t xml:space="preserve">Nel 1859, quando i Lorena abbandonarono Firenze, il Capitolo Laurenziano era una delle maggiori istituzioni ecclesiastiche presenti nell’Arcidiocesi fiorentina, costituito da 18 prebende canonicali e 33 cappellanie corali; oltre a </w:t>
      </w:r>
      <w:r>
        <w:rPr>
          <w:sz w:val="40"/>
          <w:szCs w:val="40"/>
        </w:rPr>
        <w:lastRenderedPageBreak/>
        <w:t xml:space="preserve">queste vi erano anche 54 cappellanie semplici, cioè i benefici ai quali non era collegato l’obbligo della quotidiana presenza in coro, con rendite immobiliari che superavano quelle del Capitolo di santa Maria del Fiore </w:t>
      </w:r>
      <w:r>
        <w:rPr>
          <w:rStyle w:val="FootnoteCharacters"/>
          <w:sz w:val="40"/>
          <w:szCs w:val="40"/>
        </w:rPr>
        <w:footnoteReference w:id="5"/>
      </w:r>
      <w:r>
        <w:rPr>
          <w:sz w:val="40"/>
          <w:szCs w:val="40"/>
        </w:rPr>
        <w:t>.</w:t>
      </w:r>
    </w:p>
    <w:p w14:paraId="4D4A8EE2" w14:textId="77777777" w:rsidR="00000000" w:rsidRDefault="00000000">
      <w:pPr>
        <w:ind w:firstLine="708"/>
        <w:jc w:val="both"/>
      </w:pPr>
      <w:r>
        <w:rPr>
          <w:sz w:val="40"/>
          <w:szCs w:val="40"/>
        </w:rPr>
        <w:t>Secondo i dati rilevati per la compilazione del nuovo catasto tra gli anni Venti-Trenta dell’Ottocento, i beni posseduti dal capitolo solo in Toscana erano veramente consistenti: il patrimonio immobiliare aveva un’estensione complessiva di 1.973,47 quadrati, circa 672 ettari, la cui rendita ammontava a 44.221 lire</w:t>
      </w:r>
      <w:r>
        <w:rPr>
          <w:rStyle w:val="FootnoteCharacters"/>
          <w:sz w:val="40"/>
          <w:szCs w:val="40"/>
        </w:rPr>
        <w:footnoteReference w:id="6"/>
      </w:r>
      <w:r>
        <w:rPr>
          <w:sz w:val="40"/>
          <w:szCs w:val="40"/>
        </w:rPr>
        <w:t>. Questi  beni si concentravano per circa un terzo  tra Firenze, Prato e Montelupo, mentre il resto era distribuito nelle comunità limitrofe alla capitale; non rientravano ovviamente fra questi beni quelli posseduti dal capitolo fuori dallo stato lorenese, primi fra tutti quelli di S. Benedetto in Alpe</w:t>
      </w:r>
      <w:r>
        <w:rPr>
          <w:rStyle w:val="FootnoteCharacters"/>
          <w:sz w:val="40"/>
          <w:szCs w:val="40"/>
        </w:rPr>
        <w:footnoteReference w:id="7"/>
      </w:r>
      <w:r>
        <w:rPr>
          <w:sz w:val="40"/>
          <w:szCs w:val="40"/>
        </w:rPr>
        <w:t xml:space="preserve">. Ma più ancora di queste proprietà, il patrimonio artistico, accumulato nel corso del tempo, mostrava a tutti la ricchezza e la potenza di san Lorenzo, chiesa e luogo di sepoltura delle dinastie governanti prima dei Medici e poi dei Lorena. </w:t>
      </w:r>
    </w:p>
    <w:p w14:paraId="405863E5" w14:textId="77777777" w:rsidR="00000000" w:rsidRDefault="00000000">
      <w:pPr>
        <w:pStyle w:val="Corpotesto"/>
        <w:ind w:firstLine="708"/>
      </w:pPr>
      <w:r>
        <w:rPr>
          <w:sz w:val="40"/>
          <w:szCs w:val="40"/>
        </w:rPr>
        <w:t xml:space="preserve">Il  legame con i Lorena, ostentato in varie forme, sembra però sbiadirsi al momento della partenza definitiva di Leopoldo II da Firenze, il 27 aprile 1859: l’evento, nelle carte dell’archivio della Basilica, passa completamente </w:t>
      </w:r>
      <w:r>
        <w:rPr>
          <w:sz w:val="40"/>
          <w:szCs w:val="40"/>
        </w:rPr>
        <w:lastRenderedPageBreak/>
        <w:t xml:space="preserve">sotto silenzio. L’incertezza politica suggeriva certamente prudenza, ma forse vi erano anche altre cause per questo allontanamento, soprattutto se si tiene  conto che eventi di simile rilevanza, come l’istituzione della Guardia civica e la restaurazione del 1849, erano stati registrati sul </w:t>
      </w:r>
      <w:r>
        <w:rPr>
          <w:i/>
          <w:iCs/>
          <w:sz w:val="40"/>
          <w:szCs w:val="40"/>
        </w:rPr>
        <w:t>Libro dei partiti</w:t>
      </w:r>
      <w:r>
        <w:rPr>
          <w:sz w:val="40"/>
          <w:szCs w:val="40"/>
        </w:rPr>
        <w:t xml:space="preserve"> ed il Capitolo laurenziano aveva preso pubblicamente posizioni a favore della casa regnante</w:t>
      </w:r>
      <w:r>
        <w:rPr>
          <w:rStyle w:val="FootnoteCharacters"/>
          <w:sz w:val="40"/>
          <w:szCs w:val="40"/>
        </w:rPr>
        <w:footnoteReference w:id="8"/>
      </w:r>
      <w:r>
        <w:rPr>
          <w:sz w:val="40"/>
          <w:szCs w:val="40"/>
        </w:rPr>
        <w:t>. A questi atti di sostegno, il governo lorenese rispose però con un’azione che certo non fu gradita dal capitolo: il 29 agosto 1849 il Ministero delle finanze ordinava all’Ufficio Revisioni e sindacati un’ispezione straordinaria dell’amministrazione laurenziana che riaprì antiche questioni e lasciò strascichi amari i cui effetti possono spiegare in parte il silenzio sulla fine del governo lorenese. L’ispezione era nata dalla segnalazione fatta dagli Operai della basilica</w:t>
      </w:r>
      <w:r>
        <w:rPr>
          <w:rStyle w:val="FootnoteCharacters"/>
          <w:sz w:val="40"/>
          <w:szCs w:val="40"/>
        </w:rPr>
        <w:footnoteReference w:id="9"/>
      </w:r>
      <w:r>
        <w:rPr>
          <w:sz w:val="40"/>
          <w:szCs w:val="40"/>
        </w:rPr>
        <w:t xml:space="preserve"> che non avevano accettato il bilancio del 1849 per l’inesattezza con la quale il camarlingo, il cappellano Benelli,  e il computista avevano redatto i bilanci degli anni precedenti.</w:t>
      </w:r>
    </w:p>
    <w:p w14:paraId="19FD2255" w14:textId="77777777" w:rsidR="00000000" w:rsidRDefault="00000000">
      <w:pPr>
        <w:ind w:firstLine="708"/>
        <w:jc w:val="both"/>
      </w:pPr>
      <w:r>
        <w:rPr>
          <w:sz w:val="40"/>
          <w:szCs w:val="40"/>
        </w:rPr>
        <w:t xml:space="preserve">Con questa denuncia si apriva uno squarcio poco rassicurante sulla gestione patrimoniale di san Lorenzo, che faceva intravedere  un groviglio di interessi in cui erano coinvolti cappellani,  canonici e  priore gli uni contro gli altri. </w:t>
      </w:r>
    </w:p>
    <w:p w14:paraId="1F1ADE10" w14:textId="77777777" w:rsidR="00000000" w:rsidRDefault="00000000">
      <w:pPr>
        <w:ind w:firstLine="708"/>
        <w:jc w:val="both"/>
      </w:pPr>
      <w:r>
        <w:rPr>
          <w:sz w:val="40"/>
          <w:szCs w:val="40"/>
        </w:rPr>
        <w:t xml:space="preserve">La risposta del Capitolo a questa imposizione statale fu immediata: ricevuta la comunicazione del 31 agosto il </w:t>
      </w:r>
      <w:r>
        <w:rPr>
          <w:sz w:val="40"/>
          <w:szCs w:val="40"/>
        </w:rPr>
        <w:lastRenderedPageBreak/>
        <w:t>priore prese tempo inviando al Ministero una lettera in cui sosteneva l’impossibilità di convocare il Capitolo nell’immediato, in realtà i canonici si riunirono lo stesso giorno e nei giorni che seguirono, 4-5-6 settembre, furono compilate e lette in assemblea tre memorie diverse nelle quali venivano esposte le ragioni e i diritti del Capitolo ad amministrare liberamente il proprio patrimonio, inoltre fu fatto divieto di consegnare qualsiasi scrittura a chicchesia</w:t>
      </w:r>
      <w:r>
        <w:rPr>
          <w:rStyle w:val="FootnoteCharacters"/>
          <w:sz w:val="40"/>
          <w:szCs w:val="40"/>
        </w:rPr>
        <w:footnoteReference w:id="10"/>
      </w:r>
      <w:r>
        <w:rPr>
          <w:sz w:val="40"/>
          <w:szCs w:val="40"/>
        </w:rPr>
        <w:t>.</w:t>
      </w:r>
    </w:p>
    <w:p w14:paraId="64C5D4B7" w14:textId="77777777" w:rsidR="00000000" w:rsidRDefault="00000000">
      <w:pPr>
        <w:jc w:val="both"/>
      </w:pPr>
      <w:r>
        <w:rPr>
          <w:sz w:val="40"/>
          <w:szCs w:val="40"/>
        </w:rPr>
        <w:t>La questione era delicatissima: essa coinvolgeva il rapporto tra Chiesa e Stato e fu pertanto affidato all’avvocato Vincenzo Salvagnoli</w:t>
      </w:r>
      <w:r>
        <w:rPr>
          <w:rStyle w:val="FootnoteCharacters"/>
          <w:sz w:val="40"/>
          <w:szCs w:val="40"/>
        </w:rPr>
        <w:footnoteReference w:id="11"/>
      </w:r>
      <w:r>
        <w:rPr>
          <w:sz w:val="40"/>
          <w:szCs w:val="40"/>
        </w:rPr>
        <w:t xml:space="preserve"> l’incarico di difendere i “Diritti Capitolari contro l’usurpazione dell’I. e R. Sovrano nell’amministrazione del Capitolo”</w:t>
      </w:r>
      <w:r>
        <w:rPr>
          <w:rStyle w:val="FootnoteCharacters"/>
          <w:sz w:val="40"/>
          <w:szCs w:val="40"/>
        </w:rPr>
        <w:footnoteReference w:id="12"/>
      </w:r>
      <w:r>
        <w:rPr>
          <w:sz w:val="40"/>
          <w:szCs w:val="40"/>
        </w:rPr>
        <w:t>.</w:t>
      </w:r>
    </w:p>
    <w:p w14:paraId="147E6692" w14:textId="77777777" w:rsidR="00000000" w:rsidRDefault="00000000">
      <w:pPr>
        <w:ind w:firstLine="708"/>
        <w:jc w:val="both"/>
      </w:pPr>
      <w:r>
        <w:rPr>
          <w:sz w:val="40"/>
          <w:szCs w:val="40"/>
        </w:rPr>
        <w:t>Il 22 aprile 1850 la memoria di Salvagnoli, indirizzata al Ministero degli affari ecclesiastici, fu letta ed approvata  in Capitolo</w:t>
      </w:r>
      <w:r>
        <w:rPr>
          <w:rStyle w:val="FootnoteCharacters"/>
          <w:sz w:val="40"/>
          <w:szCs w:val="40"/>
        </w:rPr>
        <w:footnoteReference w:id="13"/>
      </w:r>
      <w:r>
        <w:rPr>
          <w:sz w:val="40"/>
          <w:szCs w:val="40"/>
        </w:rPr>
        <w:t>. Nonostante lo zelo del Salvagnoli il Capitolo fu costretto a fare i conti con Pietro Tartini, il ragioniere incaricato della revisione contabile, pertanto formò una commissione composta dai canonici Vettori, Bianchi e Landini</w:t>
      </w:r>
      <w:r>
        <w:rPr>
          <w:rStyle w:val="FootnoteCharacters"/>
          <w:sz w:val="40"/>
          <w:szCs w:val="40"/>
        </w:rPr>
        <w:footnoteReference w:id="14"/>
      </w:r>
      <w:r>
        <w:rPr>
          <w:sz w:val="40"/>
          <w:szCs w:val="40"/>
        </w:rPr>
        <w:t xml:space="preserve">. La revisione mise subito in evidenza un forte disavanzo ed una gestione clientelare spingendo il Tartini a proporre, insieme alla deputazione, una scrittura per mandati d’entrata e d’uscita che dovevano essere firmati sia </w:t>
      </w:r>
      <w:r>
        <w:rPr>
          <w:sz w:val="40"/>
          <w:szCs w:val="40"/>
        </w:rPr>
        <w:lastRenderedPageBreak/>
        <w:t>dal priore che dai curaioli, riportando così in vigore quelle attribuzioni di responsabilità che erano già previste dagli statuti capitolari</w:t>
      </w:r>
      <w:r>
        <w:rPr>
          <w:rStyle w:val="FootnoteCharacters"/>
          <w:sz w:val="40"/>
          <w:szCs w:val="40"/>
        </w:rPr>
        <w:footnoteReference w:id="15"/>
      </w:r>
      <w:r>
        <w:rPr>
          <w:sz w:val="40"/>
          <w:szCs w:val="40"/>
        </w:rPr>
        <w:t>. Proposta che fu confermata con la risoluzione del Ministero degli affari ecclesiastici il 7 maggio 1851, ma la montatura e l’attivazione di questa nuova prassi amministrativa fu fortemente ostacolata sia dal corpo dei cappellani, che si erano sentiti calunniati poiché camarlingo e computista erano cappellani, sia dal priore che, come scrive il vecchio e autorevole canonico Lanfredini, “ha sempre creduto di essere l’unico padrone del patrimonio della basilica, considerato i canonici come tanti monacelli” e che in quell’occasione aveva paura di perdere la sua “padronanza”</w:t>
      </w:r>
      <w:r>
        <w:rPr>
          <w:rStyle w:val="FootnoteCharacters"/>
          <w:sz w:val="40"/>
          <w:szCs w:val="40"/>
        </w:rPr>
        <w:footnoteReference w:id="16"/>
      </w:r>
      <w:r>
        <w:rPr>
          <w:sz w:val="40"/>
          <w:szCs w:val="40"/>
        </w:rPr>
        <w:t>.  Tutti erano contro tutti.</w:t>
      </w:r>
    </w:p>
    <w:p w14:paraId="5031ACB4" w14:textId="77777777" w:rsidR="00000000" w:rsidRDefault="00000000">
      <w:pPr>
        <w:ind w:firstLine="708"/>
        <w:jc w:val="both"/>
        <w:rPr>
          <w:sz w:val="40"/>
          <w:szCs w:val="40"/>
        </w:rPr>
      </w:pPr>
      <w:r>
        <w:rPr>
          <w:sz w:val="40"/>
          <w:szCs w:val="40"/>
        </w:rPr>
        <w:t>La commissione non ebbe quindi vita facile, soprattutto dopo l’approvazione della nuova prassi contabile dei mandati. I dissapori crebbero in maniera esponenziale e tanto i cappellani che la commissione, per ottenere giustizia, si rivolsero all’arcivescovo e al granduca. La querelle si protrasse negli anni: nel settembre del 1852 il camarlingo Benelli dette le dimissioni, subito accettate, ma nell’aprile dell’anno successivo la commissione non era ancora riuscita a recuperare tutti i denari che erano in mano al Benelli.</w:t>
      </w:r>
      <w:r>
        <w:rPr>
          <w:rStyle w:val="FootnoteCharacters"/>
          <w:sz w:val="40"/>
          <w:szCs w:val="40"/>
        </w:rPr>
        <w:footnoteReference w:id="17"/>
      </w:r>
    </w:p>
    <w:p w14:paraId="1CBB620A" w14:textId="77777777" w:rsidR="00000000" w:rsidRDefault="00000000">
      <w:pPr>
        <w:pStyle w:val="Corpotesto"/>
      </w:pPr>
      <w:r>
        <w:rPr>
          <w:sz w:val="40"/>
          <w:szCs w:val="40"/>
        </w:rPr>
        <w:t xml:space="preserve">La situazione amministrativa era dunque molto ingarbugliata  e se i bilanci del 1849 e 1850 erano risultati pesantemente passivi, anche quello del 1851 si chiudeva con un disavanzo sostanzioso di circa 1800 scudi. Lo stato </w:t>
      </w:r>
      <w:r>
        <w:rPr>
          <w:sz w:val="40"/>
          <w:szCs w:val="40"/>
        </w:rPr>
        <w:lastRenderedPageBreak/>
        <w:t>era così precario che l’11 ottobre 1852 fu indetta d’urgenza un’adunanza straordinaria per accettare un prestito di 300 scudi fiorentini all’interesse del 4,5%. Nelle successive adunanze, dopo la ricomposizione della lite all’interno del corpo ecclesiastico, il Capitolo riprese in mano la situazione ripristinando le attribuzioni delle singole cariche amministrative e quindi recuperando implicitamente il controllo dell’amministrazione. La carica di camarlingo, ad esempio, venne circoscritta precisando che i termini più appropriati per descrivere quest’ufficio erano esattore e distributore, già usati nelle antiche Costituzioni. In questo modo i canonici ridussero la carica ad un ruolo meramente esecutivo sottoposto al controllo dei curaioli (carica ricoperta dai canonici) e del priore attraverso l’introduzione dei mandati</w:t>
      </w:r>
      <w:r>
        <w:rPr>
          <w:rStyle w:val="FootnoteCharacters"/>
          <w:sz w:val="40"/>
          <w:szCs w:val="40"/>
        </w:rPr>
        <w:footnoteReference w:id="18"/>
      </w:r>
      <w:r>
        <w:rPr>
          <w:sz w:val="40"/>
          <w:szCs w:val="40"/>
        </w:rPr>
        <w:t xml:space="preserve">.  Un’ulteriore riduzione di competenze avvenne nel giugno del 1853, quando la cura della soddisfazione degli obblighi, tanto capitolari che delle Cappelle </w:t>
      </w:r>
      <w:r>
        <w:rPr>
          <w:i/>
          <w:iCs/>
          <w:sz w:val="40"/>
          <w:szCs w:val="40"/>
        </w:rPr>
        <w:t>ab extra</w:t>
      </w:r>
      <w:r>
        <w:rPr>
          <w:sz w:val="40"/>
          <w:szCs w:val="40"/>
        </w:rPr>
        <w:t xml:space="preserve">,  viene sottratta al camarlingo per essere assegnata ad un canonico deputato </w:t>
      </w:r>
      <w:r>
        <w:rPr>
          <w:i/>
          <w:iCs/>
          <w:sz w:val="40"/>
          <w:szCs w:val="40"/>
        </w:rPr>
        <w:t>ad hoc</w:t>
      </w:r>
      <w:r>
        <w:rPr>
          <w:rStyle w:val="FootnoteCharacters"/>
          <w:sz w:val="40"/>
          <w:szCs w:val="40"/>
        </w:rPr>
        <w:footnoteReference w:id="19"/>
      </w:r>
      <w:r>
        <w:rPr>
          <w:sz w:val="40"/>
          <w:szCs w:val="40"/>
        </w:rPr>
        <w:t xml:space="preserve">. </w:t>
      </w:r>
    </w:p>
    <w:p w14:paraId="5BACDBA5" w14:textId="77777777" w:rsidR="00000000" w:rsidRDefault="00000000">
      <w:pPr>
        <w:ind w:firstLine="708"/>
        <w:jc w:val="both"/>
      </w:pPr>
      <w:r>
        <w:rPr>
          <w:sz w:val="40"/>
          <w:szCs w:val="40"/>
        </w:rPr>
        <w:t>L’avvio della riorganizzazione amministrativa non si fermò solo a questi decreti, successivamente furono prese in esame le competenze dei curati e la loro stretta sottomissione al capitolo; inoltre fu compilato un regolamento anche per i computisti: in breve tutta l’amministrazione venne ripensata</w:t>
      </w:r>
      <w:r>
        <w:rPr>
          <w:rStyle w:val="FootnoteCharacters"/>
          <w:sz w:val="40"/>
          <w:szCs w:val="40"/>
        </w:rPr>
        <w:footnoteReference w:id="20"/>
      </w:r>
      <w:r>
        <w:rPr>
          <w:sz w:val="40"/>
          <w:szCs w:val="40"/>
        </w:rPr>
        <w:t xml:space="preserve">. </w:t>
      </w:r>
    </w:p>
    <w:p w14:paraId="117323C2" w14:textId="77777777" w:rsidR="00000000" w:rsidRDefault="00000000">
      <w:pPr>
        <w:ind w:firstLine="708"/>
        <w:jc w:val="both"/>
      </w:pPr>
      <w:r>
        <w:rPr>
          <w:sz w:val="40"/>
          <w:szCs w:val="40"/>
        </w:rPr>
        <w:t xml:space="preserve">I risultati non tardarono ad arrivare e, a seguito di alienazioni immobiliari piuttosto consistenti e tagli a tutte le spese, il bilancio fu ripianato finalmente nel 1853 e, nel </w:t>
      </w:r>
      <w:r>
        <w:rPr>
          <w:sz w:val="40"/>
          <w:szCs w:val="40"/>
        </w:rPr>
        <w:lastRenderedPageBreak/>
        <w:t xml:space="preserve">1855, l’amministrazione sembrava completamente risanata: il bilancio di quell’anno si chiuse infatti con un consistente attivo di più di 3.500 scudi. Attivo che risultò quasi del tutto azzerato già nell’anno economico successivo che si chiuse con un avanzo di soli 273 scudi e pochi altri spiccioli. Parte di questo scarno bilancio era imputabile alla cattiva gestione del fattore di Sammontana, che aveva provocato la perdita completa della vendemmia, e alla notevole confusione in cui si trovava l’amministrazione dei beni di Romagna. A tutto ciò si aggiungeva il cattivo stato degli immobili del Capitolo, compresa la chiesa, che necessitavano di urgenti opere di restauro. </w:t>
      </w:r>
    </w:p>
    <w:p w14:paraId="092F82A7" w14:textId="77777777" w:rsidR="00000000" w:rsidRDefault="00000000">
      <w:pPr>
        <w:ind w:firstLine="708"/>
        <w:jc w:val="both"/>
      </w:pPr>
      <w:r>
        <w:rPr>
          <w:sz w:val="40"/>
          <w:szCs w:val="40"/>
        </w:rPr>
        <w:t>Nelle adunanze di settembre e di novembre del 1858 si cercò di correre ai ripari e quindi, come rimedio al gran vento che entrava in basilica, fu deciso di murare i finestroni sconquassati della soffitta. L’assemblea decise anche di togliere “il rumore e il lordume scandaloso” dalle case del chiostro, e di far fare per la scuola “due vetri, ma di grossolano lavoro e da spendere il meno possibile”. Ingente invece era la spesa per ristrutturare e mettere in sicurezza le volte dei fondi occupati dallo speziale  in piazza S. Lorenzo</w:t>
      </w:r>
      <w:r>
        <w:rPr>
          <w:rStyle w:val="FootnoteCharacters"/>
          <w:sz w:val="40"/>
          <w:szCs w:val="40"/>
        </w:rPr>
        <w:footnoteReference w:id="21"/>
      </w:r>
      <w:r>
        <w:rPr>
          <w:sz w:val="40"/>
          <w:szCs w:val="40"/>
        </w:rPr>
        <w:t>.</w:t>
      </w:r>
    </w:p>
    <w:p w14:paraId="7EB3E47B" w14:textId="77777777" w:rsidR="00000000" w:rsidRDefault="00000000">
      <w:pPr>
        <w:ind w:firstLine="708"/>
        <w:jc w:val="both"/>
      </w:pPr>
      <w:r>
        <w:rPr>
          <w:sz w:val="40"/>
          <w:szCs w:val="40"/>
        </w:rPr>
        <w:t>Per far fronte a queste necessità il capitolo stabilì di vendere i beni di Romagna, vendita che portò nelle casse, al termine di varie contrattazioni, 11.250</w:t>
      </w:r>
      <w:r>
        <w:rPr>
          <w:rStyle w:val="FootnoteCharacters"/>
          <w:sz w:val="40"/>
          <w:szCs w:val="40"/>
        </w:rPr>
        <w:footnoteReference w:id="22"/>
      </w:r>
      <w:r>
        <w:rPr>
          <w:sz w:val="40"/>
          <w:szCs w:val="40"/>
        </w:rPr>
        <w:t xml:space="preserve"> scudi più i frutti decorsi dal 1 gennaio 1857; con questa somma il capitolo cedeva oltre ai debiti anche i crediti, senza dare all’acquirente nessuna assicurazione sulla possibilità di </w:t>
      </w:r>
      <w:r>
        <w:rPr>
          <w:sz w:val="40"/>
          <w:szCs w:val="40"/>
        </w:rPr>
        <w:lastRenderedPageBreak/>
        <w:t>recuperarli, ma vendendo il suo credito come “suol dirsi per un sacco d’ossa”</w:t>
      </w:r>
      <w:r>
        <w:rPr>
          <w:rStyle w:val="FootnoteCharacters"/>
          <w:sz w:val="40"/>
          <w:szCs w:val="40"/>
        </w:rPr>
        <w:footnoteReference w:id="23"/>
      </w:r>
      <w:r>
        <w:rPr>
          <w:sz w:val="40"/>
          <w:szCs w:val="40"/>
        </w:rPr>
        <w:t xml:space="preserve">. </w:t>
      </w:r>
    </w:p>
    <w:p w14:paraId="56513C24" w14:textId="77777777" w:rsidR="00000000" w:rsidRDefault="00000000">
      <w:pPr>
        <w:ind w:firstLine="708"/>
        <w:jc w:val="both"/>
      </w:pPr>
      <w:r>
        <w:rPr>
          <w:sz w:val="40"/>
          <w:szCs w:val="40"/>
        </w:rPr>
        <w:t xml:space="preserve">In questo modo così poco decoroso venivano alienati  i vasti terreni della Romagna ammensati al capitolo fin dal 1526 da Clemente VII.  Poco dopo, il capitolo, pur di fare cassa cercò di vendere al vescovo di Modigliana lo </w:t>
      </w:r>
      <w:r>
        <w:rPr>
          <w:i/>
          <w:iCs/>
          <w:sz w:val="40"/>
          <w:szCs w:val="40"/>
        </w:rPr>
        <w:t>jus patronato</w:t>
      </w:r>
      <w:r>
        <w:rPr>
          <w:sz w:val="40"/>
          <w:szCs w:val="40"/>
        </w:rPr>
        <w:t xml:space="preserve"> che aveva sulle 5 parrocchie del territorio e  per far ciò dovette chiedere il permesso al Governo che in cambio del mantenimento delle chiese chiedeva una tassa annua di 100 scudi.  </w:t>
      </w:r>
    </w:p>
    <w:p w14:paraId="057D1BDB" w14:textId="77777777" w:rsidR="00000000" w:rsidRDefault="00000000">
      <w:pPr>
        <w:jc w:val="both"/>
      </w:pPr>
      <w:r>
        <w:rPr>
          <w:sz w:val="40"/>
          <w:szCs w:val="40"/>
        </w:rPr>
        <w:t xml:space="preserve">Così rimpolpate le casse, il bilancio dell’anno fiscale 1860-1861 si chiudeva con un avanzo di circa 1.600 scudi </w:t>
      </w:r>
      <w:r>
        <w:rPr>
          <w:rStyle w:val="FootnoteCharacters"/>
          <w:sz w:val="40"/>
          <w:szCs w:val="40"/>
        </w:rPr>
        <w:footnoteReference w:id="24"/>
      </w:r>
      <w:r>
        <w:rPr>
          <w:sz w:val="40"/>
          <w:szCs w:val="40"/>
        </w:rPr>
        <w:t xml:space="preserve">. </w:t>
      </w:r>
    </w:p>
    <w:p w14:paraId="2BA24DD1" w14:textId="77777777" w:rsidR="00000000" w:rsidRDefault="00000000">
      <w:pPr>
        <w:ind w:firstLine="708"/>
        <w:jc w:val="both"/>
      </w:pPr>
      <w:r>
        <w:rPr>
          <w:sz w:val="40"/>
          <w:szCs w:val="40"/>
        </w:rPr>
        <w:t xml:space="preserve">Il patrimonio laurenziano si presentò quindi alla nuova casa regnante con tutte le carte in regola e con tutto il suo peso grazie ad un bilancio economico apparentemente positivo. </w:t>
      </w:r>
    </w:p>
    <w:p w14:paraId="0C9019AE" w14:textId="77777777" w:rsidR="00000000" w:rsidRDefault="00000000">
      <w:pPr>
        <w:jc w:val="both"/>
      </w:pPr>
      <w:r>
        <w:rPr>
          <w:sz w:val="40"/>
          <w:szCs w:val="40"/>
        </w:rPr>
        <w:t>Il plebiscito del marzo 1860, indetto per proclamare l'annessione al Regno di Sardegna, consegnò la Toscana ai Savoia e Firenze, di lì a pochi anni, divenne la capitale del nuovo Regno.  Nel frattempo la Toscana mantenne la sua autonomia legislativa e amministrativa</w:t>
      </w:r>
      <w:r>
        <w:rPr>
          <w:rStyle w:val="FootnoteCharacters"/>
          <w:sz w:val="40"/>
          <w:szCs w:val="40"/>
        </w:rPr>
        <w:footnoteReference w:id="25"/>
      </w:r>
      <w:r>
        <w:rPr>
          <w:sz w:val="40"/>
          <w:szCs w:val="40"/>
        </w:rPr>
        <w:t xml:space="preserve"> e questo, probabilmente, rafforzò nel mondo ecclesiastico la convinzione di essere una </w:t>
      </w:r>
      <w:r>
        <w:rPr>
          <w:i/>
          <w:iCs/>
          <w:sz w:val="40"/>
          <w:szCs w:val="40"/>
        </w:rPr>
        <w:t>societas</w:t>
      </w:r>
      <w:r>
        <w:rPr>
          <w:sz w:val="40"/>
          <w:szCs w:val="40"/>
        </w:rPr>
        <w:t xml:space="preserve"> a parte, oltre il tempo, perché, come scrisse successivamente Pio X nell’enciclica </w:t>
      </w:r>
      <w:r>
        <w:rPr>
          <w:i/>
          <w:iCs/>
          <w:sz w:val="40"/>
          <w:szCs w:val="40"/>
        </w:rPr>
        <w:t>Il fermo proposito,</w:t>
      </w:r>
      <w:r>
        <w:rPr>
          <w:sz w:val="40"/>
          <w:szCs w:val="40"/>
        </w:rPr>
        <w:t xml:space="preserve"> “ la Chiesa nel lungo corso della sua storia ha sempre ed in ogni caso dimostrato luminosamente </w:t>
      </w:r>
      <w:r>
        <w:rPr>
          <w:sz w:val="40"/>
          <w:szCs w:val="40"/>
        </w:rPr>
        <w:lastRenderedPageBreak/>
        <w:t>di possedere una meravigliosa virtù di adattamento alle variabili condizioni del consorzio civile, talchè, salva sempre l’integrità e l’immutabilità della fede e della morale, e salvi ugualmente i sacrosanti suoi diritti,</w:t>
      </w:r>
      <w:r>
        <w:rPr>
          <w:sz w:val="40"/>
          <w:szCs w:val="40"/>
          <w:u w:val="single"/>
        </w:rPr>
        <w:t xml:space="preserve"> </w:t>
      </w:r>
      <w:r>
        <w:rPr>
          <w:sz w:val="40"/>
          <w:szCs w:val="40"/>
        </w:rPr>
        <w:t>facilmente si piega e si accomoda in tutto ciò che è contingente ed accidentale alle vicende dei tempi ed alle nuove esigenze della società”</w:t>
      </w:r>
      <w:r>
        <w:rPr>
          <w:rStyle w:val="FootnoteCharacters"/>
          <w:sz w:val="40"/>
          <w:szCs w:val="40"/>
        </w:rPr>
        <w:footnoteReference w:id="26"/>
      </w:r>
      <w:r>
        <w:rPr>
          <w:sz w:val="40"/>
          <w:szCs w:val="40"/>
        </w:rPr>
        <w:t>. Tale convinzione generò nel corpo ecclesiastico l’idea che il nuovo governo non avrebbe intaccato più di tanto gli equilibri esistenti.</w:t>
      </w:r>
    </w:p>
    <w:p w14:paraId="0F35D805" w14:textId="77777777" w:rsidR="00000000" w:rsidRDefault="00000000">
      <w:pPr>
        <w:ind w:firstLine="708"/>
        <w:jc w:val="both"/>
      </w:pPr>
      <w:r>
        <w:rPr>
          <w:sz w:val="40"/>
          <w:szCs w:val="40"/>
        </w:rPr>
        <w:t>Questa interpretazione fu confermata anche dall’iter dei lavori di restauro e di ristrutturazione della basilica Laurenziana: decisi da Leopoldo II, stanziati  dallo Scrittoio delle Regie rendite, iniziati sotto il Governo provvisorio furono terminati sotto i Savoia.  I lavori prevedevamo la sistemazione delle tombe dei Lorena e contemporaneamente anche il rialzamento del muro del coro per dividerlo dalla cappella Medicea, quindi il ripristino sia della cantoria con l’organo, sia dell’altare di pietre dure</w:t>
      </w:r>
      <w:r>
        <w:rPr>
          <w:rStyle w:val="FootnoteCharacters"/>
          <w:sz w:val="40"/>
          <w:szCs w:val="40"/>
        </w:rPr>
        <w:footnoteReference w:id="27"/>
      </w:r>
      <w:r>
        <w:rPr>
          <w:sz w:val="40"/>
          <w:szCs w:val="40"/>
        </w:rPr>
        <w:t>. I restauri iniziarono il 2 gennaio 1860 sotto la direzione dell’ingegnere Baccani e terminarono il 23 dicembre con la solenne riconsacrazione dell’altar maggiore</w:t>
      </w:r>
      <w:r>
        <w:rPr>
          <w:rStyle w:val="FootnoteCharacters"/>
          <w:sz w:val="40"/>
          <w:szCs w:val="40"/>
        </w:rPr>
        <w:footnoteReference w:id="28"/>
      </w:r>
      <w:r>
        <w:rPr>
          <w:sz w:val="40"/>
          <w:szCs w:val="40"/>
        </w:rPr>
        <w:t xml:space="preserve">. Nel frattempo il priore Cambi propose, durante l’assemblea capitolare del 18 aprile 1860, “che si facesse … </w:t>
      </w:r>
      <w:r>
        <w:rPr>
          <w:sz w:val="40"/>
          <w:szCs w:val="40"/>
        </w:rPr>
        <w:lastRenderedPageBreak/>
        <w:t>un atto di ossequio a sua maestà il re Vittorio Emanuele”</w:t>
      </w:r>
      <w:r>
        <w:rPr>
          <w:rStyle w:val="FootnoteCharacters"/>
          <w:sz w:val="40"/>
          <w:szCs w:val="40"/>
        </w:rPr>
        <w:footnoteReference w:id="29"/>
      </w:r>
      <w:r>
        <w:rPr>
          <w:sz w:val="40"/>
          <w:szCs w:val="40"/>
        </w:rPr>
        <w:t xml:space="preserve"> (quindi dopo circa un mese dal plebiscito).</w:t>
      </w:r>
    </w:p>
    <w:p w14:paraId="1FACE6F3" w14:textId="77777777" w:rsidR="00000000" w:rsidRDefault="00000000">
      <w:pPr>
        <w:ind w:firstLine="708"/>
        <w:jc w:val="both"/>
      </w:pPr>
      <w:r>
        <w:rPr>
          <w:sz w:val="40"/>
          <w:szCs w:val="40"/>
        </w:rPr>
        <w:t xml:space="preserve">Questa percezione di continuità senza grosse scosse, nonostante tutte le profonde trasformazioni politiche, si ha anche leggendo il </w:t>
      </w:r>
      <w:r>
        <w:rPr>
          <w:i/>
          <w:iCs/>
          <w:sz w:val="40"/>
          <w:szCs w:val="40"/>
        </w:rPr>
        <w:t>Libro dei partiti</w:t>
      </w:r>
      <w:r>
        <w:rPr>
          <w:sz w:val="40"/>
          <w:szCs w:val="40"/>
        </w:rPr>
        <w:t xml:space="preserve"> di questi anni, dove non  si avvertono grandi cambiamenti, sebbene Vittorio Emanuele avesse già dato prova di voler intervenire pesantemente sui beni ecclesiastici con il decreto del 15 marzo 1860 che rendeva affrancabili i beni di manomorta. Sempre sulla scia di questa continuità si colloca lo stemma dei Savoia fatto dipingere all’interno della facciata della chiesa e il titolo di Reale di cui fu fregiata la Basilica.</w:t>
      </w:r>
    </w:p>
    <w:p w14:paraId="4724B56B" w14:textId="77777777" w:rsidR="00000000" w:rsidRDefault="00000000">
      <w:pPr>
        <w:ind w:firstLine="708"/>
        <w:jc w:val="both"/>
        <w:rPr>
          <w:sz w:val="40"/>
          <w:szCs w:val="40"/>
        </w:rPr>
      </w:pPr>
    </w:p>
    <w:p w14:paraId="6650AC1A" w14:textId="77777777" w:rsidR="00000000" w:rsidRDefault="00000000">
      <w:r>
        <w:rPr>
          <w:b/>
          <w:sz w:val="40"/>
          <w:szCs w:val="40"/>
        </w:rPr>
        <w:t>Mutamenti e frantumazioni</w:t>
      </w:r>
    </w:p>
    <w:p w14:paraId="3FE7404E" w14:textId="77777777" w:rsidR="00000000" w:rsidRDefault="00000000">
      <w:pPr>
        <w:ind w:firstLine="708"/>
        <w:jc w:val="both"/>
      </w:pPr>
      <w:r>
        <w:rPr>
          <w:sz w:val="40"/>
          <w:szCs w:val="40"/>
        </w:rPr>
        <w:t xml:space="preserve">I cambiamenti si resero invece evidenti quando Firenze accolse la corte sabauda e tutto il suo apparato burocratico tra il 1865 e il 1871: a questo proposito fu necessario, ad esempio, per far posto ai nuovi ministeri, smantellare i vecchi e depositare velocemente le carte del precedente governo presso l’Archivio centrale di Firenze. Le trasformazioni dei percorsi urbani, previste dal progetto di ampliamento del Poggi con l’abbattimento delle mura, la creazione dei viali, la costruzione di nuovi quartieri,  mostrarono in modo evidente il mutare dei tempi. Le stesse grandi chiese cittadine che erano già state in parte oggetto di attenzioni rientrarono in questo generale riassetto urbanistico: nel 1857 erano stati iniziati i lavori per la facciata di Santa Croce e questo aveva preparato la strada al completamento della facciata del duomo, mentre per quanto </w:t>
      </w:r>
      <w:r>
        <w:rPr>
          <w:sz w:val="40"/>
          <w:szCs w:val="40"/>
        </w:rPr>
        <w:lastRenderedPageBreak/>
        <w:t>riguardava più specificamente San Lorenzo si cominciò a pensare ad un adeguato rivestimento. Rivestimento che non si concretizzò mai, ma che tra il 1900 e il 1905 darà origine a una mostra e a due concorsi(</w:t>
      </w:r>
      <w:r>
        <w:rPr>
          <w:sz w:val="40"/>
          <w:szCs w:val="40"/>
          <w:highlight w:val="yellow"/>
        </w:rPr>
        <w:t>Fig. 2</w:t>
      </w:r>
      <w:r>
        <w:rPr>
          <w:sz w:val="40"/>
          <w:szCs w:val="40"/>
        </w:rPr>
        <w:t>), segno evidente di come ormai la città era stata profondamente segnata</w:t>
      </w:r>
      <w:r>
        <w:rPr>
          <w:rStyle w:val="FootnoteCharacters"/>
          <w:sz w:val="40"/>
          <w:szCs w:val="40"/>
        </w:rPr>
        <w:footnoteReference w:id="30"/>
      </w:r>
      <w:r>
        <w:rPr>
          <w:sz w:val="40"/>
          <w:szCs w:val="40"/>
        </w:rPr>
        <w:t>. Sotto la spinta dell’euforia per i grandi cambiamenti, il centro di Firenze fu travolto da una valanga di espropri e i religiosi di ogni ordine e grado furono costretti a fare i conti con il nuovo assetto politico-istituzionale che si andava colorando di un forte spirito anticlericale. L’emanazione del Regio decreto per la soppressione delle Corporazioni religiose  del 7 luglio 1866 e poi la legge del 15 agosto 1867</w:t>
      </w:r>
      <w:r>
        <w:rPr>
          <w:rStyle w:val="FootnoteCharacters"/>
          <w:sz w:val="40"/>
          <w:szCs w:val="40"/>
        </w:rPr>
        <w:footnoteReference w:id="31"/>
      </w:r>
      <w:r>
        <w:rPr>
          <w:sz w:val="40"/>
          <w:szCs w:val="40"/>
        </w:rPr>
        <w:t xml:space="preserve"> per la liquidazione dell’asse ecclesiastico non lasciarono più alcun dubbio: i tempi erano mutati  e il clero laurenziano non aveva più alcun patrono a cui rivolgersi. </w:t>
      </w:r>
    </w:p>
    <w:p w14:paraId="259AC887" w14:textId="77777777" w:rsidR="00000000" w:rsidRDefault="00000000">
      <w:pPr>
        <w:ind w:firstLine="708"/>
        <w:jc w:val="both"/>
      </w:pPr>
      <w:r>
        <w:rPr>
          <w:sz w:val="40"/>
          <w:szCs w:val="40"/>
        </w:rPr>
        <w:t xml:space="preserve">Le leggi “eversive” non risparmiarono le dotazioni  del Capitolo Laurenziano.  La Basilica infatti non era né chiesa cattedrale, né chiesa palatina, le uniche che potevano salvarsi dalle soppressioni, secondo la nuova legge.  Il Capitolo fu abolito e la massa capitolare fu incamerata dal Demanio. Appellandosi agli articoli 1-6 della legge del 1867 si ottenne tuttavia che fosse creato un beneficio a favore dell’ente parrocchia, poiché al momento della soppressione, il capitolo aveva come scopo principale la cura delle anime. Furono salvati dall’indemaniamento anche i beni dei cinque legati costituenti le opere pie di san </w:t>
      </w:r>
      <w:r>
        <w:rPr>
          <w:sz w:val="40"/>
          <w:szCs w:val="40"/>
        </w:rPr>
        <w:lastRenderedPageBreak/>
        <w:t xml:space="preserve">Lorenzo, in quanto non appartenevano formalmente al Capitolo, ma erano destinate all’assistenza materiale e spirituale dei parrocchiani di San Lorenzo. In questo modo il priore, capo della parrocchia, diveniva  l’unico responsabile davanti alla legge e detentore di tutto quello che era stato sottratto all’incameramento dello Stato. A quest’epoca vi era però anche un altro fattore negativo: il Capitolo, privo fin dal 1862 della figura del priore, tentava di far fronte come meglio poteva agli avvenimenti. Morto infatti monsignor Alessandro Cambi, fu nominato </w:t>
      </w:r>
      <w:r>
        <w:rPr>
          <w:i/>
          <w:sz w:val="40"/>
          <w:szCs w:val="40"/>
        </w:rPr>
        <w:t>ad interim</w:t>
      </w:r>
      <w:r>
        <w:rPr>
          <w:sz w:val="40"/>
          <w:szCs w:val="40"/>
        </w:rPr>
        <w:t xml:space="preserve"> il canonico Lorenzo Vettori</w:t>
      </w:r>
      <w:r>
        <w:rPr>
          <w:rStyle w:val="FootnoteCharacters"/>
          <w:sz w:val="40"/>
          <w:szCs w:val="40"/>
        </w:rPr>
        <w:footnoteReference w:id="32"/>
      </w:r>
      <w:r>
        <w:rPr>
          <w:sz w:val="40"/>
          <w:szCs w:val="40"/>
        </w:rPr>
        <w:t xml:space="preserve"> e fu lui, che tra grandi difficoltà, riuscì a traghettare il clero laurenziano verso una situazione completamente diversa. </w:t>
      </w:r>
    </w:p>
    <w:p w14:paraId="3E0BB4DD" w14:textId="77777777" w:rsidR="00000000" w:rsidRDefault="00000000">
      <w:pPr>
        <w:ind w:firstLine="708"/>
        <w:jc w:val="both"/>
        <w:rPr>
          <w:sz w:val="40"/>
          <w:szCs w:val="40"/>
        </w:rPr>
      </w:pPr>
    </w:p>
    <w:p w14:paraId="6226699C" w14:textId="77777777" w:rsidR="00000000" w:rsidRDefault="00000000">
      <w:pPr>
        <w:ind w:firstLine="708"/>
        <w:jc w:val="both"/>
      </w:pPr>
      <w:r>
        <w:rPr>
          <w:sz w:val="40"/>
          <w:szCs w:val="40"/>
        </w:rPr>
        <w:t xml:space="preserve">Durante questi anni lo scenario politico e geografico cambiò completamente e le coscienze dei cattolici furono scosse da eventi impensabili solo pochi anni prima. Le leggi eversive, lo shock provocato dallo sbriciolamento dello stato pontificio, prima con l’insurrezione dei territori delle Marche e dell’Umbria, poi con l’occupazione del Lazio e infine con la rovina totale del potere temporale papale il 20 settembre 1870,  dettero una scossa violentissima a tutto il mondo cattolico.  In meno di dieci anni lo Stato della Chiesa non esisteva più, quello che fin dai tempi più lontani era considerato l’origine e contemporaneamente l’essenza stessa della cultura occidentale, si era disintegrato. </w:t>
      </w:r>
    </w:p>
    <w:p w14:paraId="76AE7204" w14:textId="77777777" w:rsidR="00000000" w:rsidRDefault="00000000">
      <w:pPr>
        <w:ind w:firstLine="708"/>
        <w:jc w:val="both"/>
      </w:pPr>
      <w:r>
        <w:rPr>
          <w:sz w:val="40"/>
          <w:szCs w:val="40"/>
        </w:rPr>
        <w:t xml:space="preserve">La chiesa sotto i colpi dell’anticlericalismo reagì rinserrando i ranghi e Pio IX con la bolla </w:t>
      </w:r>
      <w:r>
        <w:rPr>
          <w:i/>
          <w:iCs/>
          <w:sz w:val="40"/>
          <w:szCs w:val="40"/>
        </w:rPr>
        <w:t>Aeterni Patris</w:t>
      </w:r>
      <w:r>
        <w:rPr>
          <w:sz w:val="40"/>
          <w:szCs w:val="40"/>
        </w:rPr>
        <w:t xml:space="preserve">, del </w:t>
      </w:r>
      <w:r>
        <w:rPr>
          <w:sz w:val="40"/>
          <w:szCs w:val="40"/>
        </w:rPr>
        <w:lastRenderedPageBreak/>
        <w:t>29 giugno 1868, convocò il Concilio Vaticano I</w:t>
      </w:r>
      <w:r>
        <w:rPr>
          <w:rStyle w:val="FootnoteCharacters"/>
          <w:sz w:val="40"/>
          <w:szCs w:val="40"/>
        </w:rPr>
        <w:footnoteReference w:id="33"/>
      </w:r>
      <w:r>
        <w:rPr>
          <w:sz w:val="40"/>
          <w:szCs w:val="40"/>
        </w:rPr>
        <w:t xml:space="preserve">. Gli scopi principali del concilio furono quelli di ottenere, da una parte, la conferma della posizione che il papa aveva assunto nel Sillabo del 1864 in cui venivano condannate posizioni legate al razionalismo, al liberalismo, al materialismo e  al fideismo. Dall’altra parte poi era fondamentale definire la dottrina riguardante la chiesa. Dai lavori del concilio uscirono due costituzioni dogmatiche, </w:t>
      </w:r>
      <w:r>
        <w:rPr>
          <w:i/>
          <w:iCs/>
          <w:sz w:val="40"/>
          <w:szCs w:val="40"/>
        </w:rPr>
        <w:t>Dei Filius</w:t>
      </w:r>
      <w:r>
        <w:rPr>
          <w:sz w:val="40"/>
          <w:szCs w:val="40"/>
        </w:rPr>
        <w:t xml:space="preserve"> e </w:t>
      </w:r>
      <w:r>
        <w:rPr>
          <w:i/>
          <w:iCs/>
          <w:sz w:val="40"/>
          <w:szCs w:val="40"/>
        </w:rPr>
        <w:t>Pastor Aeternus</w:t>
      </w:r>
      <w:r>
        <w:rPr>
          <w:sz w:val="40"/>
          <w:szCs w:val="40"/>
        </w:rPr>
        <w:t xml:space="preserve">, quest’ultima  sul tema del primato e dell’infallibilità del papa. Nel giro di due anni il papa era entrato in concilio sovrano ed era uscito spossessato del suo regno, ma con il riconoscimento della sua infallibilità in materia dogmatica. Le ripercussioni furono pesanti: basterà qui accennare alla fuoriuscita di alcuni vescovi dell’Europa centrale che dettero vita, con la rottura definitiva nel 1873, allo scisma vetero-cattolico, basato sul disconoscimento dell’infallibilità del papa. A seguito della breccia di Porta Pia, Pio IX si considerò prigioniero dello stato italiano, rifiutò la legge delle guarentigie e rispose con il </w:t>
      </w:r>
      <w:r>
        <w:rPr>
          <w:i/>
          <w:sz w:val="40"/>
          <w:szCs w:val="40"/>
        </w:rPr>
        <w:t>Non expedit</w:t>
      </w:r>
      <w:r>
        <w:rPr>
          <w:sz w:val="40"/>
          <w:szCs w:val="40"/>
        </w:rPr>
        <w:t xml:space="preserve">, proibendo ai cattolici di partecipare attivamente alla vita politica; tale situazione restò più o meno invariata fino ai Patti Lateranensi del 1929. </w:t>
      </w:r>
    </w:p>
    <w:p w14:paraId="1D58F652" w14:textId="77777777" w:rsidR="00000000" w:rsidRDefault="00000000">
      <w:pPr>
        <w:pStyle w:val="NormaleWeb"/>
        <w:spacing w:before="0" w:after="0"/>
        <w:ind w:firstLine="709"/>
        <w:jc w:val="both"/>
      </w:pPr>
      <w:r>
        <w:rPr>
          <w:sz w:val="40"/>
          <w:szCs w:val="40"/>
        </w:rPr>
        <w:t>Il senso di precarietà dato dalla situazione generale è ben rintracciabile tra le carte conservate nell’archivio capitolare: non a caso, nell’adunanza del 16 febbraio 1867, il capitolo decide, “in vista delle cose politiche attuali” di tenere sospesa la collazione di un canonicato reso vacante</w:t>
      </w:r>
      <w:r>
        <w:rPr>
          <w:rStyle w:val="FootnoteCharacters"/>
          <w:sz w:val="40"/>
          <w:szCs w:val="40"/>
        </w:rPr>
        <w:footnoteReference w:id="34"/>
      </w:r>
      <w:r>
        <w:rPr>
          <w:sz w:val="40"/>
          <w:szCs w:val="40"/>
        </w:rPr>
        <w:t xml:space="preserve">. Pochi giorni dopo, ormai consapevoli del pericolo, nella </w:t>
      </w:r>
      <w:r>
        <w:rPr>
          <w:sz w:val="40"/>
          <w:szCs w:val="40"/>
        </w:rPr>
        <w:lastRenderedPageBreak/>
        <w:t>riunione straordinaria del 22 febbraio il canonico Bianchi lesse una memoria da inviare al Re, nella quale dimostrava che la chiesa di san Lorenzo non doveva esser colpita dalla legge che la privava de suoi beni</w:t>
      </w:r>
      <w:r>
        <w:rPr>
          <w:rStyle w:val="FootnoteCharacters"/>
          <w:sz w:val="40"/>
          <w:szCs w:val="40"/>
        </w:rPr>
        <w:footnoteReference w:id="35"/>
      </w:r>
      <w:r>
        <w:rPr>
          <w:sz w:val="40"/>
          <w:szCs w:val="40"/>
        </w:rPr>
        <w:t>. A niente valse questo sforzo e la situazione economica si fece sempre più difficile: il capitolo fu costretto ad indebitarsi a causa delle mancate assegnazioni governative previste dalla legge del 15 agosto 1867, in base alla quale doveva essere corrisposto un assegno pari alla rendita netta della dotazione ordinaria</w:t>
      </w:r>
      <w:r>
        <w:rPr>
          <w:rStyle w:val="FootnoteCharacters"/>
          <w:sz w:val="40"/>
          <w:szCs w:val="40"/>
        </w:rPr>
        <w:footnoteReference w:id="36"/>
      </w:r>
      <w:r>
        <w:rPr>
          <w:sz w:val="40"/>
          <w:szCs w:val="40"/>
        </w:rPr>
        <w:t xml:space="preserve">. Il 4 giugno 1868 la situazione non si era ancora risolta felicemente, ma anzi aveva avuto uno sviluppo infausto e quindi, durante la riunione di quel giorno fu deciso di eleggere una commissione composta da 5 canonici per trattare con il Demanio le pensioni che secondo legge sarebbero spettate ai canonici. Di lì a poco, il 18 di luglio, il Capitolo riunito in assemblea accettò la pensione demaniale, anche se inferiore alle aspettative,  e dette al camarlingo il permesso di ritirarla. A questo punto si aprirono una serie di incongruenze con le quali il Capitolo doveva fare i conti, poiché, se la comunità era stata soppressa secondo gli effetti civili, “tutto restava fermo rispetto alla parte canonica”. Il clero laurenziano per continuare a vivere come in passato pensò di supplire con un Regolamento là dove le ultime costituzioni del 1662 erano insufficienti per “le variazioni dei tempi”. A questo proposito fu scelta una commissione composta da due canonici e da due cappellani per redigere “i preliminari di </w:t>
      </w:r>
      <w:r>
        <w:rPr>
          <w:sz w:val="40"/>
          <w:szCs w:val="40"/>
        </w:rPr>
        <w:lastRenderedPageBreak/>
        <w:t xml:space="preserve">un nuovo patto sociale e compilare un regolamento da sottoporsi all’approvazione di ambedue i collegi e dell’autorità ecclesiastica”. </w:t>
      </w:r>
    </w:p>
    <w:p w14:paraId="78EE6CCB" w14:textId="77777777" w:rsidR="00000000" w:rsidRDefault="00000000">
      <w:pPr>
        <w:pStyle w:val="NormaleWeb"/>
        <w:spacing w:before="0" w:after="0"/>
        <w:ind w:firstLine="709"/>
        <w:jc w:val="both"/>
      </w:pPr>
      <w:r>
        <w:rPr>
          <w:sz w:val="40"/>
          <w:szCs w:val="40"/>
        </w:rPr>
        <w:t>Il tenore della lettera di presentazione si concentrava principalmente sul decoro della chiesa che la comunità ecclesiastica di San Lorenzo si impegnava a mantenere anche in situazioni così difficili. Nei preliminari i canonici e i cappellani dichiaravano di voler continuare a vivere in comunità, di voler formare una sola cassa proveniente da tutti gli assegnamenti e distribuirli secondo il servizio reso in chiesa. Per amministrare il capitale comune venivano scelti 2 canonici e due cappellani  che erano tenuti a offrire il proprio operato gratuitamente</w:t>
      </w:r>
      <w:r>
        <w:rPr>
          <w:rStyle w:val="FootnoteCharacters"/>
          <w:sz w:val="40"/>
          <w:szCs w:val="40"/>
        </w:rPr>
        <w:footnoteReference w:id="37"/>
      </w:r>
      <w:r>
        <w:rPr>
          <w:sz w:val="40"/>
          <w:szCs w:val="40"/>
        </w:rPr>
        <w:t>.</w:t>
      </w:r>
    </w:p>
    <w:p w14:paraId="6DD0B31C" w14:textId="77777777" w:rsidR="00000000" w:rsidRDefault="00000000">
      <w:pPr>
        <w:jc w:val="both"/>
        <w:rPr>
          <w:sz w:val="40"/>
          <w:szCs w:val="40"/>
        </w:rPr>
      </w:pPr>
    </w:p>
    <w:p w14:paraId="7A7433AD" w14:textId="77777777" w:rsidR="00000000" w:rsidRDefault="00000000">
      <w:pPr>
        <w:jc w:val="both"/>
      </w:pPr>
      <w:r>
        <w:rPr>
          <w:b/>
          <w:sz w:val="40"/>
          <w:szCs w:val="40"/>
        </w:rPr>
        <w:t>Il priorato di monsignor Giovannini</w:t>
      </w:r>
    </w:p>
    <w:p w14:paraId="56EF7373" w14:textId="77777777" w:rsidR="00000000" w:rsidRDefault="00000000">
      <w:pPr>
        <w:ind w:firstLine="708"/>
        <w:jc w:val="both"/>
      </w:pPr>
      <w:r>
        <w:rPr>
          <w:sz w:val="40"/>
          <w:szCs w:val="40"/>
        </w:rPr>
        <w:t>Gli anni della lunga reggenza del canonico Vettori, furono segnati da bilanci con forti disavanzi: gli anni 1869 e 1870, ad esempio, si chiudevano con un passivo di £ 4.443, 34 che costrinse il capitolo a fare tagli a tutte le spese compresa la distribuzione della brace e agli assegni mensili del sagrestano. La situazione non poteva continuare e la Curia, in ottemperanza alle lettere apostoliche ricevute, nominò Attilio Giovannini quale capo del Capitolo laurenziano (</w:t>
      </w:r>
      <w:r>
        <w:rPr>
          <w:sz w:val="40"/>
          <w:szCs w:val="40"/>
          <w:highlight w:val="yellow"/>
        </w:rPr>
        <w:t>Fig. 3</w:t>
      </w:r>
      <w:r>
        <w:rPr>
          <w:sz w:val="40"/>
          <w:szCs w:val="40"/>
        </w:rPr>
        <w:t xml:space="preserve">) </w:t>
      </w:r>
      <w:r>
        <w:rPr>
          <w:rStyle w:val="FootnoteCharacters"/>
          <w:sz w:val="40"/>
          <w:szCs w:val="40"/>
        </w:rPr>
        <w:footnoteReference w:id="38"/>
      </w:r>
      <w:r>
        <w:rPr>
          <w:sz w:val="40"/>
          <w:szCs w:val="40"/>
        </w:rPr>
        <w:t>.</w:t>
      </w:r>
    </w:p>
    <w:p w14:paraId="3B2CE981" w14:textId="77777777" w:rsidR="00000000" w:rsidRDefault="00000000">
      <w:pPr>
        <w:jc w:val="both"/>
      </w:pPr>
      <w:r>
        <w:rPr>
          <w:sz w:val="40"/>
          <w:szCs w:val="40"/>
        </w:rPr>
        <w:t xml:space="preserve">I rapporti tra il nuovo priore e il capitolo non furono ottimali e andarono via degenerando fino a giungere nel 1881 ad una vera e propria diffida da parte del priore verso </w:t>
      </w:r>
      <w:r>
        <w:rPr>
          <w:sz w:val="40"/>
          <w:szCs w:val="40"/>
        </w:rPr>
        <w:lastRenderedPageBreak/>
        <w:t>i canonici, poiché egli non voleva in alcun modo rendersi responsabile di fronte alla legge della gestione di un ente non riconosciuto civilmente.  Per rafforzare il suo dissenso Giovannini per oltre due anni non partecipò alle riunioni capitolari</w:t>
      </w:r>
      <w:r>
        <w:rPr>
          <w:rStyle w:val="FootnoteCharacters"/>
          <w:sz w:val="40"/>
          <w:szCs w:val="40"/>
        </w:rPr>
        <w:footnoteReference w:id="39"/>
      </w:r>
      <w:r>
        <w:rPr>
          <w:sz w:val="40"/>
          <w:szCs w:val="40"/>
        </w:rPr>
        <w:t xml:space="preserve">. </w:t>
      </w:r>
    </w:p>
    <w:p w14:paraId="4506D4D4" w14:textId="77777777" w:rsidR="00000000" w:rsidRDefault="00000000">
      <w:pPr>
        <w:ind w:firstLine="708"/>
        <w:jc w:val="both"/>
      </w:pPr>
      <w:r>
        <w:rPr>
          <w:sz w:val="40"/>
          <w:szCs w:val="40"/>
        </w:rPr>
        <w:t>Durante questo priorato avvennero importanti cambiamenti ma qui basterà ricordare, nel 1907, la costituzione, dell’Opera Medicea Laurenziana su richiesta avanzata allo Stato da monsignor Giovannini, con il sostegno di Guido Biagi, Direttore della Biblioteca Laurenziana</w:t>
      </w:r>
      <w:r>
        <w:rPr>
          <w:rStyle w:val="FootnoteCharacters"/>
          <w:sz w:val="40"/>
          <w:szCs w:val="40"/>
        </w:rPr>
        <w:footnoteReference w:id="40"/>
      </w:r>
      <w:r>
        <w:rPr>
          <w:sz w:val="40"/>
          <w:szCs w:val="40"/>
        </w:rPr>
        <w:t>. La richiesta nasceva dalla volontà di tutelare e salvaguardare il complesso monumentale, che dopo l’esproprio nel 1867, era stato suddiviso in più proprietà sottoposte a diverse amministrazioni</w:t>
      </w:r>
      <w:r>
        <w:rPr>
          <w:rStyle w:val="FootnoteCharacters"/>
          <w:sz w:val="40"/>
          <w:szCs w:val="40"/>
        </w:rPr>
        <w:footnoteReference w:id="41"/>
      </w:r>
      <w:r>
        <w:rPr>
          <w:sz w:val="40"/>
          <w:szCs w:val="40"/>
        </w:rPr>
        <w:t xml:space="preserve">; l’Opera non doveva toccare i diritti di proprietà, ma coordinare, come unico organo, la gestione di questo patrimonio frammentato. </w:t>
      </w:r>
    </w:p>
    <w:p w14:paraId="321F9020" w14:textId="77777777" w:rsidR="00000000" w:rsidRDefault="00000000">
      <w:pPr>
        <w:ind w:firstLine="708"/>
        <w:jc w:val="both"/>
      </w:pPr>
      <w:r>
        <w:rPr>
          <w:sz w:val="40"/>
          <w:szCs w:val="40"/>
        </w:rPr>
        <w:t xml:space="preserve">Negli anni Venti del Novecento Giovannini, quale capo del capitolo, insieme al clero lauranziano,  attento al mutare dei tempi, intraprese la via del riconoscimento giuridico civile del capitolo stesso per poter usufruire dei benefici delle congrue per il clero.  </w:t>
      </w:r>
    </w:p>
    <w:p w14:paraId="7FE8DD8F" w14:textId="77777777" w:rsidR="00000000" w:rsidRDefault="00000000">
      <w:pPr>
        <w:ind w:firstLine="708"/>
        <w:jc w:val="both"/>
      </w:pPr>
      <w:r>
        <w:rPr>
          <w:sz w:val="40"/>
          <w:szCs w:val="40"/>
        </w:rPr>
        <w:t xml:space="preserve">Sono questi gli anni in cui il fascismo si trasforma da movimento a partito, utilizzando, per prendere il potere, anche la violenza delle squadre fasciste – basta a questo </w:t>
      </w:r>
      <w:r>
        <w:rPr>
          <w:sz w:val="40"/>
          <w:szCs w:val="40"/>
        </w:rPr>
        <w:lastRenderedPageBreak/>
        <w:t>proposito ricordare il delitto Matteotti avvenuto proprio nel 1924, anno in cui il governo nazionale approvò il decreto legge riguardante la congrua</w:t>
      </w:r>
      <w:r>
        <w:rPr>
          <w:rStyle w:val="FootnoteCharacters"/>
          <w:sz w:val="40"/>
          <w:szCs w:val="40"/>
        </w:rPr>
        <w:footnoteReference w:id="42"/>
      </w:r>
      <w:r>
        <w:rPr>
          <w:sz w:val="40"/>
          <w:szCs w:val="40"/>
        </w:rPr>
        <w:t>. Questo decreto non riguardava il clero delle chiese collegiate, perché civilmente soppresse e quindi il capitolo dette incarico ai canonici Giraldi e Meliani di seguire l’istanza per ottenere il riconoscimento civile</w:t>
      </w:r>
      <w:r>
        <w:rPr>
          <w:rStyle w:val="FootnoteCharacters"/>
          <w:sz w:val="40"/>
          <w:szCs w:val="40"/>
        </w:rPr>
        <w:footnoteReference w:id="43"/>
      </w:r>
      <w:r>
        <w:rPr>
          <w:sz w:val="40"/>
          <w:szCs w:val="40"/>
        </w:rPr>
        <w:t>. Furono presi accordi con l’arcivescovo che appoggiò l’operazione e fu avvicinato l’onorevole Italo Capanni</w:t>
      </w:r>
      <w:r>
        <w:rPr>
          <w:rStyle w:val="FootnoteCharacters"/>
          <w:sz w:val="40"/>
          <w:szCs w:val="40"/>
        </w:rPr>
        <w:footnoteReference w:id="44"/>
      </w:r>
      <w:r>
        <w:rPr>
          <w:sz w:val="40"/>
          <w:szCs w:val="40"/>
        </w:rPr>
        <w:t xml:space="preserve"> perché intervenisse a Roma presso la segreteria del Ministero di Grazia e Culti. L’istanza fu presentata al sottosegretario, l’onorevole Mattei Gentili</w:t>
      </w:r>
      <w:r>
        <w:rPr>
          <w:rStyle w:val="FootnoteCharacters"/>
          <w:sz w:val="40"/>
          <w:szCs w:val="40"/>
        </w:rPr>
        <w:footnoteReference w:id="45"/>
      </w:r>
      <w:r>
        <w:rPr>
          <w:sz w:val="40"/>
          <w:szCs w:val="40"/>
        </w:rPr>
        <w:t xml:space="preserve"> che contemporaneamente era anche il Presidente della Commissione per la riforma della legislazione ecclesiastica. </w:t>
      </w:r>
    </w:p>
    <w:p w14:paraId="2388B129" w14:textId="77777777" w:rsidR="00000000" w:rsidRDefault="00000000">
      <w:pPr>
        <w:pStyle w:val="Corpotesto"/>
        <w:ind w:firstLine="708"/>
      </w:pPr>
      <w:r>
        <w:rPr>
          <w:sz w:val="40"/>
          <w:szCs w:val="40"/>
        </w:rPr>
        <w:t xml:space="preserve">Il 20 giugno il Ministero rispose sospendendo ogni decisione in merito e rimandando la soluzione ad un eventuale studio sulla riforma del patrimonio ecclesiastico. L’anno successivo sembrava che la situazione generale si stesse muovendo: a Pisa durante il congresso della Federazione del Clero, monsignor Orlandi aveva accennato alla ricostituzione delle collegiate. Alla fine del 1925, l’avvocato Giulietti, che patrocinava a Roma il capitolo, informava il canonico Giuseppe Meliani che, dopo ripetuti contatti, la commissione aveva dato parere positivo </w:t>
      </w:r>
      <w:r>
        <w:rPr>
          <w:sz w:val="40"/>
          <w:szCs w:val="40"/>
        </w:rPr>
        <w:lastRenderedPageBreak/>
        <w:t xml:space="preserve">all’istanza presentata. La commissione quindi proponeva formalmente l’erezione in ente morale della collegiata di S. Lorenzo, insieme ad altri 4 capitoli tra i quali quello di S. Ambrogio di Milano e S. Petronio di Bologna. A queste collegiate venivano attribuite da 6 a 12 benefici equiparandole quindi alle cattedrali, il riconoscimento non comportava però la restituzione del patrimonio incamerato nel 1867 dallo stato. L’attribuzione dei benefici non sarebbe però dipesa dalla Camera, ma direttamente dal Fondo per il culto. </w:t>
      </w:r>
    </w:p>
    <w:p w14:paraId="4E012F43" w14:textId="77777777" w:rsidR="00000000" w:rsidRDefault="00000000">
      <w:pPr>
        <w:ind w:firstLine="708"/>
        <w:jc w:val="both"/>
      </w:pPr>
      <w:r>
        <w:rPr>
          <w:sz w:val="40"/>
          <w:szCs w:val="40"/>
        </w:rPr>
        <w:t>La vicenda proseguì negli anni e nel gennaio del 1934, dopo i Patti lateranensi, la Prefettura comunicava al nuovo priore che il Ministero aveva confermato la possibilità di una soluzione favorevole all’istanza di riconoscimento giuridico del capitolo fermo stante la presenza di sufficienti mezzi di finanziamento, non potendo gravare alcun assegno fisso e continuativo sul fondo per il culto. Infatti l’art. 29 lettera D) del Concordato ammetteva il riconoscimento delle fondazioni di culto comprese quelle già esistenti di fatto, purché non ne fosse derivato alcun onere finanziario allo Stato</w:t>
      </w:r>
      <w:r>
        <w:rPr>
          <w:rStyle w:val="FootnoteCharacters"/>
          <w:sz w:val="40"/>
          <w:szCs w:val="40"/>
        </w:rPr>
        <w:footnoteReference w:id="46"/>
      </w:r>
      <w:r>
        <w:rPr>
          <w:sz w:val="40"/>
          <w:szCs w:val="40"/>
        </w:rPr>
        <w:t xml:space="preserve">. </w:t>
      </w:r>
    </w:p>
    <w:p w14:paraId="1E7EEE1D" w14:textId="77777777" w:rsidR="00000000" w:rsidRDefault="00000000">
      <w:pPr>
        <w:ind w:firstLine="708"/>
        <w:jc w:val="both"/>
      </w:pPr>
      <w:r>
        <w:rPr>
          <w:sz w:val="40"/>
          <w:szCs w:val="40"/>
        </w:rPr>
        <w:t xml:space="preserve">I tempi erano mutati, il priore era cambiato e il riconoscimento civile non sembrava più comportare quei benefici finanziari intravisti dieci anni prima. </w:t>
      </w:r>
    </w:p>
    <w:p w14:paraId="0681A109" w14:textId="77777777" w:rsidR="00000000" w:rsidRDefault="00000000">
      <w:pPr>
        <w:jc w:val="both"/>
        <w:rPr>
          <w:sz w:val="40"/>
          <w:szCs w:val="40"/>
        </w:rPr>
      </w:pPr>
    </w:p>
    <w:p w14:paraId="360B8939" w14:textId="77777777" w:rsidR="00000000" w:rsidRDefault="00000000">
      <w:pPr>
        <w:pStyle w:val="Titolo1"/>
      </w:pPr>
      <w:r>
        <w:rPr>
          <w:sz w:val="40"/>
          <w:szCs w:val="40"/>
        </w:rPr>
        <w:lastRenderedPageBreak/>
        <w:t>Rosselli il priore pacificatore</w:t>
      </w:r>
    </w:p>
    <w:p w14:paraId="739C16F6" w14:textId="77777777" w:rsidR="00000000" w:rsidRDefault="00000000">
      <w:pPr>
        <w:ind w:firstLine="708"/>
        <w:jc w:val="both"/>
      </w:pPr>
      <w:r>
        <w:rPr>
          <w:sz w:val="40"/>
          <w:szCs w:val="40"/>
        </w:rPr>
        <w:t>Il 5 gennaio 1928 era infatti morto monsignor Giovannini</w:t>
      </w:r>
      <w:r>
        <w:rPr>
          <w:rStyle w:val="FootnoteCharacters"/>
          <w:sz w:val="40"/>
          <w:szCs w:val="40"/>
        </w:rPr>
        <w:footnoteReference w:id="47"/>
      </w:r>
      <w:r>
        <w:rPr>
          <w:sz w:val="40"/>
          <w:szCs w:val="40"/>
        </w:rPr>
        <w:t xml:space="preserve"> e subito dopo l’arcivescovo investì il canonico Marcucci come reggente dei poteri parrocchiali. Il capitolo, da parte sua, si preparò all’elezione del nuovo priore, ma, come si comprende dai verbali delle Adunanze capitolari, la cosa si mostrò subito difficile.</w:t>
      </w:r>
    </w:p>
    <w:p w14:paraId="4629D19B" w14:textId="77777777" w:rsidR="00000000" w:rsidRDefault="00000000">
      <w:pPr>
        <w:ind w:firstLine="708"/>
        <w:jc w:val="both"/>
      </w:pPr>
      <w:r>
        <w:rPr>
          <w:sz w:val="40"/>
          <w:szCs w:val="40"/>
        </w:rPr>
        <w:t xml:space="preserve">Dopo più proposte di nomina, più votazioni e rinunce degli eletti si giunse alla scelta di monsignor Giovanni Rosselli </w:t>
      </w:r>
      <w:r>
        <w:rPr>
          <w:sz w:val="40"/>
          <w:szCs w:val="40"/>
          <w:highlight w:val="yellow"/>
        </w:rPr>
        <w:t>(Fig. 4)</w:t>
      </w:r>
      <w:r>
        <w:rPr>
          <w:sz w:val="40"/>
          <w:szCs w:val="40"/>
        </w:rPr>
        <w:t xml:space="preserve"> </w:t>
      </w:r>
      <w:r>
        <w:rPr>
          <w:rStyle w:val="FootnoteCharacters"/>
          <w:sz w:val="40"/>
          <w:szCs w:val="40"/>
        </w:rPr>
        <w:footnoteReference w:id="48"/>
      </w:r>
      <w:r>
        <w:rPr>
          <w:sz w:val="40"/>
          <w:szCs w:val="40"/>
        </w:rPr>
        <w:t xml:space="preserve">. Tale elezione non fu pacifica, come egli stesso scrisse nel </w:t>
      </w:r>
      <w:r>
        <w:rPr>
          <w:i/>
          <w:iCs/>
          <w:sz w:val="40"/>
          <w:szCs w:val="40"/>
        </w:rPr>
        <w:t>Liber Chronicus</w:t>
      </w:r>
      <w:r>
        <w:rPr>
          <w:sz w:val="40"/>
          <w:szCs w:val="40"/>
        </w:rPr>
        <w:t>, ma grazie alle sue capacità di mediazione riuscì a fare grandi cose</w:t>
      </w:r>
      <w:r>
        <w:rPr>
          <w:rStyle w:val="FootnoteCharacters"/>
          <w:sz w:val="40"/>
          <w:szCs w:val="40"/>
        </w:rPr>
        <w:footnoteReference w:id="49"/>
      </w:r>
      <w:r>
        <w:rPr>
          <w:sz w:val="40"/>
          <w:szCs w:val="40"/>
        </w:rPr>
        <w:t xml:space="preserve">.  </w:t>
      </w:r>
    </w:p>
    <w:p w14:paraId="4D5AF2E9" w14:textId="77777777" w:rsidR="00000000" w:rsidRDefault="00000000">
      <w:pPr>
        <w:ind w:firstLine="708"/>
        <w:jc w:val="both"/>
      </w:pPr>
      <w:r>
        <w:rPr>
          <w:sz w:val="40"/>
          <w:szCs w:val="40"/>
        </w:rPr>
        <w:t xml:space="preserve">Con l’elezione di questo priore si aprì una nuova stagione in cui i rapporti spesso tesi tra il priore e il capitolo furono ricomposti e si iniziò a lavorare in modo fattivo alla ricostituzione del patrimonio del capitolo con lasciti di varia natura e con la ricostituzione delle prebende canonicali. In questi anni si moltiplicano infatti le donazioni e anche monsignor Rosselli dette più volte prova di grande magnanimità verso il capitolo. La prima operazione che intraprese come gesto di distensione fu quello relativa al beneficio parrocchiale. Infatti, pochi mesi dopo il suo ingresso a San Lorenzo il Rosselli fu interpellato dal capitolo che voleva avere schiarimenti sul patrimonio della basilica: in particolare i canonici chiedevano di rintracciare tra le carte dell’archivio un accordo segreto tra il capitolo e il priore avvenuto, probabilmente, in concomitanza delle </w:t>
      </w:r>
      <w:r>
        <w:rPr>
          <w:sz w:val="40"/>
          <w:szCs w:val="40"/>
        </w:rPr>
        <w:lastRenderedPageBreak/>
        <w:t>leggi “eversive” per salvare il proprio patrimonio. Di fronte a questa richiesta il priore non si tirò indietro, e prudentemente rispose che riteneva doveroso fare tale ricerca. Due anni dopo la questione è ancora all’ordine del giorno e il canonico Soldi dopo aver ripercorso la storia dell’incameramento dei beni del capitolo e spiegato che lo stato aveva convogliato una parte del patrimonio capitolare nel beneficio parrocchiale sosteneva che il parroco aveva l’obbligo morale di partecipare ai canonici parte dei proventi beneficiari. Per stabilire il prezzo si doveva nuovamente ricorrere alle carte d’archivio e tale incarico fu affidato al canonico Franciolini</w:t>
      </w:r>
      <w:r>
        <w:rPr>
          <w:rStyle w:val="FootnoteCharacters"/>
          <w:sz w:val="40"/>
          <w:szCs w:val="40"/>
        </w:rPr>
        <w:footnoteReference w:id="50"/>
      </w:r>
      <w:r>
        <w:rPr>
          <w:sz w:val="40"/>
          <w:szCs w:val="40"/>
        </w:rPr>
        <w:t>. Il 5 ottobre 1933 nei verbali delle adunanze capitolari si trova la decisione del Rosselli di ripristinare, per l’anno successivo, le distribuzioni corali, quale “piccolo segno di molta venerazione verso i canonici”</w:t>
      </w:r>
      <w:r>
        <w:rPr>
          <w:rStyle w:val="FootnoteCharacters"/>
          <w:sz w:val="40"/>
          <w:szCs w:val="40"/>
        </w:rPr>
        <w:footnoteReference w:id="51"/>
      </w:r>
      <w:r>
        <w:rPr>
          <w:sz w:val="40"/>
          <w:szCs w:val="40"/>
        </w:rPr>
        <w:t xml:space="preserve">. Per questo impegno il Rosselli fece una proposta che spiazzò i canonici i quali non si aspettavano tanta generosità: mise a disposizione £ 4000  annue più £ 1500 provenienti dalla rendita della cosiddetta “Carità dei cappellani” e altre 300 £ da impiegarsi per il mantenimento del coro. In cambio il capitolo avrebbe dovuto provvedere a tutte le spese di distribuzioni corali dei canonici e dei cappellani, le spese di culto, gli stipendio dei servi e tutte le altre spese eventuali.  Le rendite della Carità dei cappellani spettavano ai cappellani i quali però poco frequentavano il coro e si giunse quindi ad un accordo. Così con quello che aveva offerto il priore e con quello che si ricavava dalla Carità dei Cappellani furono iniziate le distribuzioni corali </w:t>
      </w:r>
      <w:r>
        <w:rPr>
          <w:sz w:val="40"/>
          <w:szCs w:val="40"/>
        </w:rPr>
        <w:lastRenderedPageBreak/>
        <w:t>giornaliere</w:t>
      </w:r>
      <w:r>
        <w:rPr>
          <w:rStyle w:val="FootnoteCharacters"/>
          <w:sz w:val="40"/>
          <w:szCs w:val="40"/>
        </w:rPr>
        <w:footnoteReference w:id="52"/>
      </w:r>
      <w:r>
        <w:rPr>
          <w:sz w:val="40"/>
          <w:szCs w:val="40"/>
        </w:rPr>
        <w:t xml:space="preserve">. Furono fatte altre proposte tutte a vantaggio del capitolo che con soddisfazione e riconoscenza iniziò a collaborare fattivamente alla ricostituzione del patrimonio e del decoro della basilica. </w:t>
      </w:r>
    </w:p>
    <w:p w14:paraId="3525B90D" w14:textId="77777777" w:rsidR="00000000" w:rsidRDefault="00000000">
      <w:pPr>
        <w:ind w:firstLine="708"/>
        <w:jc w:val="both"/>
        <w:rPr>
          <w:sz w:val="40"/>
          <w:szCs w:val="40"/>
        </w:rPr>
      </w:pPr>
      <w:r>
        <w:rPr>
          <w:sz w:val="40"/>
          <w:szCs w:val="40"/>
        </w:rPr>
        <w:t>Tra le iniziative che concorsero a rasserenare gli animi  si deve ricordare anche l’accordo stipulato con la Soprintendenza ai monumenti e l’Opera Medicea Laurenziana in relazione ai reliquiari depositati presso le cappelle medicee: una parte della sovrattassa imposta sul biglietto dei visitatori, sarebbe andata nelle casse del capitolo.</w:t>
      </w:r>
      <w:r>
        <w:rPr>
          <w:rStyle w:val="FootnoteCharacters"/>
          <w:sz w:val="40"/>
          <w:szCs w:val="40"/>
        </w:rPr>
        <w:footnoteReference w:id="53"/>
      </w:r>
    </w:p>
    <w:p w14:paraId="0338EA7D" w14:textId="77777777" w:rsidR="00000000" w:rsidRDefault="00000000">
      <w:pPr>
        <w:ind w:firstLine="708"/>
        <w:jc w:val="both"/>
      </w:pPr>
      <w:r>
        <w:rPr>
          <w:sz w:val="40"/>
          <w:szCs w:val="40"/>
        </w:rPr>
        <w:t>Grazie alle sue grandi capacità diplomatiche nel giro di pochi anni il Rosselli riuscì a cancellare i grossi dissapori sorti tra il capitolo e il precedente priore. Giovannini infatti aveva retto il priorato per un arco di tempo lunghissimo, 54 anni e alla sua morte aveva lasciato San Lorenzo in condizioni non proprio ottimali. Anche gli arredi sacri erano stati trascurati e il quadro che ne fa il Rosselli è decisamente negativo: “nei primi tempi del suo rettorato aveva curati i sacri paramenti, in seguito si era rimesso completamente ad altri e tutti gli arredi di sagrestia andarono in malora”</w:t>
      </w:r>
      <w:r>
        <w:rPr>
          <w:rStyle w:val="FootnoteCharacters"/>
          <w:sz w:val="40"/>
          <w:szCs w:val="40"/>
        </w:rPr>
        <w:footnoteReference w:id="54"/>
      </w:r>
      <w:r>
        <w:rPr>
          <w:sz w:val="40"/>
          <w:szCs w:val="40"/>
        </w:rPr>
        <w:t xml:space="preserve">. </w:t>
      </w:r>
    </w:p>
    <w:p w14:paraId="39886AD1" w14:textId="77777777" w:rsidR="00000000" w:rsidRDefault="00000000">
      <w:pPr>
        <w:ind w:firstLine="708"/>
        <w:jc w:val="both"/>
      </w:pPr>
      <w:r>
        <w:rPr>
          <w:sz w:val="40"/>
          <w:szCs w:val="40"/>
        </w:rPr>
        <w:t>Il priorato di monsignor Rosselli durò una ventina d’anni</w:t>
      </w:r>
      <w:r>
        <w:rPr>
          <w:rStyle w:val="FootnoteCharacters"/>
          <w:sz w:val="40"/>
          <w:szCs w:val="40"/>
        </w:rPr>
        <w:footnoteReference w:id="55"/>
      </w:r>
      <w:r>
        <w:rPr>
          <w:sz w:val="40"/>
          <w:szCs w:val="40"/>
        </w:rPr>
        <w:t xml:space="preserve">, dal 1928 al 1947, in un arco di tempo cruciale per la storia d’Italia e della Chiesa. Pochi giorni dopo il suo ingresso trionfale in chiesa per l’immissione in possesso, </w:t>
      </w:r>
      <w:r>
        <w:rPr>
          <w:sz w:val="40"/>
          <w:szCs w:val="40"/>
        </w:rPr>
        <w:lastRenderedPageBreak/>
        <w:t xml:space="preserve">l’11 febbraio fu firmato  il concordato tra la S. Sede e il governo italiano. L’evento eccezionale fu festeggiato con l’esposizione del SS Sacramento e il discorso in chiesa fu tenuto dallo stesso Rosselli che poi  registrò il grande evento anche sul Liber Chronicus. Alla descrizione degli avvenimenti il priore aggiunse di seguito una riflessione molto interessante: “Non si può negare che questo fatto straordinario non apportasse gioia in tutti i cuori: io penso però che ci sia poco da fidarsi di certi soggetti che sono stati la </w:t>
      </w:r>
      <w:r>
        <w:rPr>
          <w:i/>
          <w:sz w:val="40"/>
          <w:szCs w:val="40"/>
        </w:rPr>
        <w:t>magna pars</w:t>
      </w:r>
      <w:r>
        <w:rPr>
          <w:sz w:val="40"/>
          <w:szCs w:val="40"/>
        </w:rPr>
        <w:t xml:space="preserve"> del concordato. Il tempo darà il suo responso. E’ sempre vero quel che disse il nostro Manzoni “O degli eventi umani-antiveder bugiardo”, ma è vero anche che il buon dì si vede dal mattino”</w:t>
      </w:r>
      <w:r>
        <w:rPr>
          <w:rStyle w:val="FootnoteCharacters"/>
          <w:sz w:val="40"/>
          <w:szCs w:val="40"/>
        </w:rPr>
        <w:footnoteReference w:id="56"/>
      </w:r>
      <w:r>
        <w:rPr>
          <w:sz w:val="40"/>
          <w:szCs w:val="40"/>
        </w:rPr>
        <w:t xml:space="preserve">.  </w:t>
      </w:r>
    </w:p>
    <w:p w14:paraId="4176B09D" w14:textId="77777777" w:rsidR="00000000" w:rsidRDefault="00000000">
      <w:pPr>
        <w:jc w:val="both"/>
        <w:rPr>
          <w:sz w:val="40"/>
          <w:szCs w:val="40"/>
        </w:rPr>
      </w:pPr>
      <w:r>
        <w:rPr>
          <w:sz w:val="40"/>
          <w:szCs w:val="40"/>
        </w:rPr>
        <w:t>Poche parole, ma che uscivano fuori dalle direttive date dalla Curia fiorentina il 25 febbraio, secondo le quali Giovacchino Bonardi Vescovo ausiliario proibiva “ad alcun sacerdote e agli appartenenti all’Azione Cattolica di tenere conferenze sul grande avvenimento dell’11 febbraio ultimo scorso. Confidiamo che nessuno contravverrà a questa disposizione”</w:t>
      </w:r>
      <w:r>
        <w:rPr>
          <w:rStyle w:val="FootnoteCharacters"/>
          <w:sz w:val="40"/>
          <w:szCs w:val="40"/>
        </w:rPr>
        <w:footnoteReference w:id="57"/>
      </w:r>
    </w:p>
    <w:p w14:paraId="01625BF8" w14:textId="77777777" w:rsidR="00000000" w:rsidRDefault="00000000">
      <w:pPr>
        <w:ind w:firstLine="708"/>
        <w:jc w:val="both"/>
      </w:pPr>
      <w:r>
        <w:rPr>
          <w:sz w:val="40"/>
          <w:szCs w:val="40"/>
        </w:rPr>
        <w:t xml:space="preserve">In seguito il Rosselli riprenderà le sue valutazioni sul Regime fascista e questa volta con un atteggiamento perfettamente in linea con la Santa sede. Sempre sul </w:t>
      </w:r>
      <w:r>
        <w:rPr>
          <w:i/>
          <w:sz w:val="40"/>
          <w:szCs w:val="40"/>
        </w:rPr>
        <w:t xml:space="preserve">Liber Chronicus </w:t>
      </w:r>
      <w:r>
        <w:rPr>
          <w:sz w:val="40"/>
          <w:szCs w:val="40"/>
        </w:rPr>
        <w:t xml:space="preserve">scrisse: “sono passati appena due anni dal giorno della conciliazione fra la Chiesa e lo Stato italiano e [ne]i giornali mancano i dissensi e i dissapori che esistono fra il Vaticano e il Partito. Il Santo Padre in una sua enciclica lamenta lo scioglimento, da parte del governo, delle </w:t>
      </w:r>
      <w:r>
        <w:rPr>
          <w:sz w:val="40"/>
          <w:szCs w:val="40"/>
        </w:rPr>
        <w:lastRenderedPageBreak/>
        <w:t>associazioni giovanili ed universitarie di Azione Cattolica”</w:t>
      </w:r>
      <w:r>
        <w:rPr>
          <w:rStyle w:val="FootnoteCharacters"/>
          <w:sz w:val="40"/>
          <w:szCs w:val="40"/>
        </w:rPr>
        <w:footnoteReference w:id="58"/>
      </w:r>
      <w:r>
        <w:rPr>
          <w:sz w:val="40"/>
          <w:szCs w:val="40"/>
        </w:rPr>
        <w:t>.</w:t>
      </w:r>
    </w:p>
    <w:p w14:paraId="356EDFE8" w14:textId="77777777" w:rsidR="00000000" w:rsidRDefault="00000000">
      <w:pPr>
        <w:ind w:firstLine="708"/>
        <w:jc w:val="both"/>
      </w:pPr>
      <w:r>
        <w:rPr>
          <w:sz w:val="40"/>
          <w:szCs w:val="40"/>
        </w:rPr>
        <w:t xml:space="preserve">Il riferimento è chiaramente all’enciclica </w:t>
      </w:r>
      <w:r>
        <w:rPr>
          <w:bCs/>
          <w:i/>
          <w:sz w:val="40"/>
          <w:szCs w:val="40"/>
        </w:rPr>
        <w:t>Non abbiamo bisogno</w:t>
      </w:r>
      <w:r>
        <w:rPr>
          <w:sz w:val="40"/>
          <w:szCs w:val="40"/>
        </w:rPr>
        <w:t xml:space="preserve"> promulgata il 29 giugno 1931 in cui il papa difendeva l’Azione Cattolica Italiana dai tentativi del regime di eliminarla. Nel testo il Pontefice coglie l’occasione per difendere i Patti Lateranensi messi in crisi dal regime malgrado le buone intenzioni, ma condanna esplicitamente il Fascismo come dottrina totalitaria, definendola “</w:t>
      </w:r>
      <w:r>
        <w:rPr>
          <w:color w:val="000000"/>
          <w:sz w:val="40"/>
          <w:szCs w:val="40"/>
        </w:rPr>
        <w:t>una vera e propria statolatria pagana, non meno in contrasto con i diritti naturali della famiglia che con i diritti soprannaturali della Chiesa... un programma che misconosce, combatte e perseguita l’Azione Cattolica”</w:t>
      </w:r>
      <w:r>
        <w:rPr>
          <w:sz w:val="40"/>
          <w:szCs w:val="40"/>
        </w:rPr>
        <w:t xml:space="preserve"> </w:t>
      </w:r>
      <w:r>
        <w:rPr>
          <w:rStyle w:val="FootnoteCharacters"/>
          <w:sz w:val="40"/>
          <w:szCs w:val="40"/>
        </w:rPr>
        <w:footnoteReference w:id="59"/>
      </w:r>
      <w:r>
        <w:rPr>
          <w:sz w:val="40"/>
          <w:szCs w:val="40"/>
        </w:rPr>
        <w:t>. Qui si toccavano questioni particolarmente delicate su cui la chiesa aveva puntato molte delle sue energie come l’educazione e la formazione dell’individuo, mandato a cui non poteva rinunciare</w:t>
      </w:r>
      <w:r>
        <w:rPr>
          <w:rStyle w:val="FootnoteCharacters"/>
          <w:sz w:val="40"/>
          <w:szCs w:val="40"/>
        </w:rPr>
        <w:footnoteReference w:id="60"/>
      </w:r>
      <w:r>
        <w:rPr>
          <w:sz w:val="40"/>
          <w:szCs w:val="40"/>
        </w:rPr>
        <w:t>. (</w:t>
      </w:r>
      <w:r>
        <w:rPr>
          <w:sz w:val="40"/>
          <w:szCs w:val="40"/>
          <w:highlight w:val="yellow"/>
        </w:rPr>
        <w:t>Fig. 5</w:t>
      </w:r>
      <w:r>
        <w:rPr>
          <w:sz w:val="40"/>
          <w:szCs w:val="40"/>
        </w:rPr>
        <w:t>)</w:t>
      </w:r>
    </w:p>
    <w:p w14:paraId="7990A491" w14:textId="77777777" w:rsidR="00000000" w:rsidRDefault="00000000">
      <w:pPr>
        <w:ind w:firstLine="708"/>
        <w:jc w:val="both"/>
      </w:pPr>
      <w:r>
        <w:rPr>
          <w:sz w:val="40"/>
          <w:szCs w:val="40"/>
        </w:rPr>
        <w:t xml:space="preserve">L’enciclica fu quindi il risultato degli scontri che si erano scatenati per l’istituzione dell’Opera Nazionale Balilla fin dalla presentazione del progetto di legge ed erano proseguiti con l’elaborazione dei regolamenti attuativi. “Le autorità ecclesiastiche, avevano cercato di intervenire nella stesura di alcuni articoli in modo da garantire la sopravvivenza delle proprie organizzazioni … Il braccio di ferro si concluse con la vittoria di Mussolini </w:t>
      </w:r>
      <w:r>
        <w:rPr>
          <w:sz w:val="40"/>
          <w:szCs w:val="40"/>
        </w:rPr>
        <w:lastRenderedPageBreak/>
        <w:t>che, con un decreto che modificava la legge istitutiva dell’Opera Nazionale Balilla, sciolse le formazioni degli Esploratori cattolici eliminando così i diretti concorrenti dell’organizzazione. Alla Santa Sede non restò che cedere puntando sulla soluzione della Questione Romana e sulla sopravvivenza dell’Azione Cattolica”</w:t>
      </w:r>
      <w:r>
        <w:rPr>
          <w:rStyle w:val="FootnoteCharacters"/>
          <w:sz w:val="40"/>
          <w:szCs w:val="40"/>
        </w:rPr>
        <w:footnoteReference w:id="61"/>
      </w:r>
      <w:r>
        <w:rPr>
          <w:sz w:val="40"/>
          <w:szCs w:val="40"/>
        </w:rPr>
        <w:t>. Il Vaticano fu anche costretto, nonostante il deciso rifiuto iniziale, a concedere cappellani che dovevano prestare l’assistenza religiosa nei reparti giovanili e non solo: dovette accettare anche l’istituzione dell’Ispettorato che doveva coordinare l’attività dei cappellani.</w:t>
      </w:r>
    </w:p>
    <w:p w14:paraId="3D063973" w14:textId="77777777" w:rsidR="00000000" w:rsidRDefault="00000000">
      <w:pPr>
        <w:jc w:val="both"/>
        <w:rPr>
          <w:sz w:val="40"/>
          <w:szCs w:val="40"/>
        </w:rPr>
      </w:pPr>
    </w:p>
    <w:p w14:paraId="32D6C479" w14:textId="77777777" w:rsidR="00000000" w:rsidRDefault="00000000">
      <w:pPr>
        <w:pStyle w:val="Titolo1"/>
      </w:pPr>
      <w:r>
        <w:rPr>
          <w:sz w:val="40"/>
          <w:szCs w:val="40"/>
        </w:rPr>
        <w:t>Associazioni e compagnie laicali a San Lorenzo</w:t>
      </w:r>
    </w:p>
    <w:p w14:paraId="743C2BAC" w14:textId="77777777" w:rsidR="00000000" w:rsidRDefault="00000000">
      <w:pPr>
        <w:ind w:firstLine="708"/>
        <w:jc w:val="both"/>
      </w:pPr>
      <w:r>
        <w:rPr>
          <w:sz w:val="40"/>
          <w:szCs w:val="40"/>
        </w:rPr>
        <w:t xml:space="preserve">Le disposizioni contenute nell’enciclica </w:t>
      </w:r>
      <w:r>
        <w:rPr>
          <w:i/>
          <w:sz w:val="40"/>
          <w:szCs w:val="40"/>
        </w:rPr>
        <w:t>Il fermo proposito</w:t>
      </w:r>
      <w:r>
        <w:rPr>
          <w:sz w:val="40"/>
          <w:szCs w:val="40"/>
        </w:rPr>
        <w:t xml:space="preserve"> in cui Pio X nel 1905 dava le direttive per lo sviluppo dell’Azione Cattolica, ebbero applicazione anche nella diocesi fiorentina e nella parrocchia di san Lorenzo, dove nel 1921 fu fondato il circolo femminile che fu diretto fino al 1929 dai Padri Missionari del S. Cuore e poi da monsignor Rosselli. Quest’ultimo era assistente ecclesiastico anche della Società di San Vincenzo de’ Paoli la cui conferenza femminile era già</w:t>
      </w:r>
    </w:p>
    <w:p w14:paraId="43645DE5" w14:textId="77777777" w:rsidR="00000000" w:rsidRDefault="00000000">
      <w:pPr>
        <w:jc w:val="both"/>
      </w:pPr>
      <w:r>
        <w:rPr>
          <w:sz w:val="40"/>
          <w:szCs w:val="40"/>
        </w:rPr>
        <w:t xml:space="preserve">attiva nella parrocchia fin dal 1904. Lo scopo della Conferenza era quello di portare aiuto materiale e spirituale alle famiglie povere; nel 1930 ne sosteneva ben 66. </w:t>
      </w:r>
      <w:r>
        <w:rPr>
          <w:bCs/>
          <w:sz w:val="40"/>
          <w:szCs w:val="40"/>
        </w:rPr>
        <w:t>La spiritualità di monsignor Rosselli si esplicò anche nel sostegno che dette all’Apostolato della Preghiera, un a</w:t>
      </w:r>
      <w:r>
        <w:rPr>
          <w:sz w:val="40"/>
          <w:szCs w:val="40"/>
        </w:rPr>
        <w:t xml:space="preserve">ltro importante gruppo attivo all’interno della parrocchia, che nel 1930 era formato da 27 zelatrici, 19 vice-zelatrici e </w:t>
      </w:r>
      <w:r>
        <w:rPr>
          <w:sz w:val="40"/>
          <w:szCs w:val="40"/>
        </w:rPr>
        <w:lastRenderedPageBreak/>
        <w:t>molte iscritte</w:t>
      </w:r>
      <w:r>
        <w:rPr>
          <w:rStyle w:val="FootnoteCharacters"/>
          <w:sz w:val="40"/>
          <w:szCs w:val="40"/>
        </w:rPr>
        <w:footnoteReference w:id="62"/>
      </w:r>
      <w:r>
        <w:rPr>
          <w:sz w:val="40"/>
          <w:szCs w:val="40"/>
        </w:rPr>
        <w:t>. Al gruppo femminile Rosselli cercò di affiancare anche un gruppo di zelatori. Per quanto riguardava la presenza maschile nelle associazioni parrocchiali, in S. Lorenzo vi era un gruppo di uomini dell’Azione Cattolica che risultarono particolarmente preparati all’esame a cui furono sottoposti dall’Arcivescovo  Elia dalla Costa (</w:t>
      </w:r>
      <w:r>
        <w:rPr>
          <w:sz w:val="40"/>
          <w:szCs w:val="40"/>
          <w:highlight w:val="yellow"/>
        </w:rPr>
        <w:t>Fig. 6</w:t>
      </w:r>
      <w:r>
        <w:rPr>
          <w:sz w:val="40"/>
          <w:szCs w:val="40"/>
        </w:rPr>
        <w:t>) durante la II visita pastorale</w:t>
      </w:r>
      <w:r>
        <w:rPr>
          <w:rStyle w:val="FootnoteCharacters"/>
          <w:sz w:val="40"/>
          <w:szCs w:val="40"/>
        </w:rPr>
        <w:footnoteReference w:id="63"/>
      </w:r>
      <w:r>
        <w:rPr>
          <w:sz w:val="40"/>
          <w:szCs w:val="40"/>
        </w:rPr>
        <w:t xml:space="preserve">. </w:t>
      </w:r>
    </w:p>
    <w:p w14:paraId="7C72F021" w14:textId="77777777" w:rsidR="00000000" w:rsidRDefault="00000000">
      <w:pPr>
        <w:pStyle w:val="Corpodeltesto21"/>
        <w:spacing w:after="0" w:line="240" w:lineRule="auto"/>
        <w:ind w:firstLine="708"/>
        <w:jc w:val="both"/>
      </w:pPr>
      <w:r>
        <w:rPr>
          <w:sz w:val="40"/>
          <w:szCs w:val="40"/>
        </w:rPr>
        <w:t>A fianco di queste nuove associazioni radicate sul territorio parrocchiale, a San Lorenzo continuavano ad operare le antiche confraternite laicali che sfuggivano al criterio stabilito dal centro di unificare e coordinare l’indirizzo delle forze cattoliche. Un esempio fra tutte</w:t>
      </w:r>
      <w:r>
        <w:rPr>
          <w:rStyle w:val="FootnoteCharacters"/>
          <w:sz w:val="40"/>
          <w:szCs w:val="40"/>
        </w:rPr>
        <w:footnoteReference w:id="64"/>
      </w:r>
      <w:r>
        <w:rPr>
          <w:sz w:val="40"/>
          <w:szCs w:val="40"/>
        </w:rPr>
        <w:t>, la compagnia delle Sacre stimate di san Francesco. Questa, nata alla fine del XVI sec., nel 1905, prima ancora che venisse promulgato il Codice di Diritto canonico (1917), tentò di riorganizzarsi in società di mutuo soccorso in linea con le tendenze spirituali e politiche dell’epoca</w:t>
      </w:r>
      <w:r>
        <w:rPr>
          <w:rStyle w:val="FootnoteCharacters"/>
          <w:sz w:val="40"/>
          <w:szCs w:val="40"/>
        </w:rPr>
        <w:footnoteReference w:id="65"/>
      </w:r>
      <w:r>
        <w:rPr>
          <w:sz w:val="40"/>
          <w:szCs w:val="40"/>
        </w:rPr>
        <w:t>. L’allora arcivescovo, Alfonso Maria Mistrangelo</w:t>
      </w:r>
      <w:r>
        <w:rPr>
          <w:rStyle w:val="FootnoteCharacters"/>
          <w:sz w:val="40"/>
          <w:szCs w:val="40"/>
        </w:rPr>
        <w:footnoteReference w:id="66"/>
      </w:r>
      <w:r>
        <w:rPr>
          <w:sz w:val="40"/>
          <w:szCs w:val="40"/>
        </w:rPr>
        <w:t>, sostenne e promosse il progetto durante la visita pastorale avvenuta nello stesso anno in cui fu indetto il Sinodo diocesano</w:t>
      </w:r>
      <w:r>
        <w:rPr>
          <w:rStyle w:val="FootnoteCharacters"/>
          <w:sz w:val="40"/>
          <w:szCs w:val="40"/>
        </w:rPr>
        <w:footnoteReference w:id="67"/>
      </w:r>
      <w:r>
        <w:rPr>
          <w:sz w:val="40"/>
          <w:szCs w:val="40"/>
        </w:rPr>
        <w:t xml:space="preserve">. </w:t>
      </w:r>
      <w:r>
        <w:rPr>
          <w:sz w:val="40"/>
          <w:szCs w:val="40"/>
        </w:rPr>
        <w:lastRenderedPageBreak/>
        <w:t>Nelle</w:t>
      </w:r>
      <w:r>
        <w:rPr>
          <w:i/>
          <w:sz w:val="40"/>
          <w:szCs w:val="40"/>
        </w:rPr>
        <w:t xml:space="preserve"> Constitutiones Synodales </w:t>
      </w:r>
      <w:r>
        <w:rPr>
          <w:sz w:val="40"/>
          <w:szCs w:val="40"/>
        </w:rPr>
        <w:t>furono dettate norme generali per le confraternite alle quali si imponeva un aggiornamento dei propri statuti</w:t>
      </w:r>
      <w:r>
        <w:rPr>
          <w:rStyle w:val="FootnoteCharacters"/>
          <w:sz w:val="40"/>
          <w:szCs w:val="40"/>
        </w:rPr>
        <w:footnoteReference w:id="68"/>
      </w:r>
      <w:r>
        <w:rPr>
          <w:sz w:val="40"/>
          <w:szCs w:val="40"/>
        </w:rPr>
        <w:t>. Nel 1911, durante il Congresso eucaristico, fu nominata una commissione che formasse uno statuto esemplare, di riferimento per tutte le associazioni che discusso ed approvato l’anno successivo. Il progetto di trasformazione della Compagnia delle Stimate in società di mutuo soccorso e il necessario nuovo statuto, non si realizzarono a seguito sia del nuovo Codice di diritto canonico (1917) e sia per le direttive date da Elia Dalla Costa nel Sinodo diocesano del 1938. Queste precise norme attribuivano infatti al parroco, all’interno della propria circoscrizione parrocchiale, un ruolo centrale sia in ambito spirituale che in quello amministrativo e tale preminenza riguardava anche le compagnie. Gli statuti del 1918 approvati dall’assemblea della compagnia furono sottoposti ad un rifacimento integrale dal priore Rosselli e da membri esterni incaricati dalla Curia arcivescovile</w:t>
      </w:r>
      <w:r>
        <w:rPr>
          <w:rStyle w:val="FootnoteCharacters"/>
          <w:sz w:val="40"/>
          <w:szCs w:val="40"/>
        </w:rPr>
        <w:footnoteReference w:id="69"/>
      </w:r>
      <w:r>
        <w:rPr>
          <w:sz w:val="40"/>
          <w:szCs w:val="40"/>
        </w:rPr>
        <w:t>. Questo documento non fu mai riconosciuto dai confratelli e si incrinò quella solidarietà che per secoli aveva caratterizzato il rapporto con la parrocchia.</w:t>
      </w:r>
      <w:r>
        <w:rPr>
          <w:rStyle w:val="FootnoteCharacters"/>
          <w:sz w:val="40"/>
          <w:szCs w:val="40"/>
        </w:rPr>
        <w:footnoteReference w:id="70"/>
      </w:r>
      <w:r>
        <w:rPr>
          <w:sz w:val="40"/>
          <w:szCs w:val="40"/>
        </w:rPr>
        <w:t xml:space="preserve">  </w:t>
      </w:r>
    </w:p>
    <w:p w14:paraId="60732F4D" w14:textId="77777777" w:rsidR="00000000" w:rsidRDefault="00000000">
      <w:pPr>
        <w:pStyle w:val="Corpodeltesto21"/>
        <w:spacing w:after="0" w:line="240" w:lineRule="auto"/>
        <w:ind w:firstLine="708"/>
        <w:jc w:val="both"/>
      </w:pPr>
      <w:r>
        <w:rPr>
          <w:sz w:val="40"/>
          <w:szCs w:val="40"/>
        </w:rPr>
        <w:t xml:space="preserve">Molti altri avvenimenti si svolsero sotto il priorato del Rosselli, basterà ricordare lo smembramento della parrocchia del 1936 quando una parte considerevole del </w:t>
      </w:r>
      <w:r>
        <w:rPr>
          <w:sz w:val="40"/>
          <w:szCs w:val="40"/>
        </w:rPr>
        <w:lastRenderedPageBreak/>
        <w:t>territorio confluì sotto la nuova parrocchia dei Missionari del Sacro Cuore</w:t>
      </w:r>
      <w:r>
        <w:rPr>
          <w:rStyle w:val="FootnoteCharacters"/>
          <w:sz w:val="40"/>
          <w:szCs w:val="40"/>
        </w:rPr>
        <w:footnoteReference w:id="71"/>
      </w:r>
      <w:r>
        <w:rPr>
          <w:sz w:val="40"/>
          <w:szCs w:val="40"/>
        </w:rPr>
        <w:t>.  Un altro evento importante è costituito dall’abbattimento delle superfetazioni edilizie che nel corso dei secoli si erano addossate alla basilica e alle cappelle medicee (</w:t>
      </w:r>
      <w:r>
        <w:rPr>
          <w:sz w:val="40"/>
          <w:szCs w:val="40"/>
          <w:highlight w:val="yellow"/>
        </w:rPr>
        <w:t>Figg. 7</w:t>
      </w:r>
      <w:r>
        <w:rPr>
          <w:sz w:val="40"/>
          <w:szCs w:val="40"/>
        </w:rPr>
        <w:t xml:space="preserve">-8). I progetti preliminari e l’esecuzione dei lavori  impegnarono il comune dal 1936 fino al 1939. </w:t>
      </w:r>
    </w:p>
    <w:p w14:paraId="3DEA8CD7" w14:textId="77777777" w:rsidR="00000000" w:rsidRDefault="00000000">
      <w:pPr>
        <w:jc w:val="both"/>
        <w:rPr>
          <w:sz w:val="40"/>
          <w:szCs w:val="40"/>
        </w:rPr>
      </w:pPr>
    </w:p>
    <w:p w14:paraId="6A29F536" w14:textId="77777777" w:rsidR="00000000" w:rsidRDefault="00000000">
      <w:pPr>
        <w:pStyle w:val="NormaleWeb"/>
        <w:spacing w:before="0" w:after="0"/>
        <w:jc w:val="both"/>
      </w:pPr>
      <w:r>
        <w:rPr>
          <w:b/>
          <w:sz w:val="40"/>
          <w:szCs w:val="40"/>
        </w:rPr>
        <w:t xml:space="preserve">La guerra e la liberazione: </w:t>
      </w:r>
      <w:r>
        <w:rPr>
          <w:b/>
          <w:i/>
          <w:sz w:val="40"/>
          <w:szCs w:val="40"/>
          <w:lang w:val="fr-FR"/>
        </w:rPr>
        <w:t>Sat funeri, sat lacrimis, sat est datum doloribus</w:t>
      </w:r>
    </w:p>
    <w:p w14:paraId="66B1020A" w14:textId="77777777" w:rsidR="00000000" w:rsidRDefault="00000000">
      <w:pPr>
        <w:ind w:firstLine="708"/>
        <w:jc w:val="both"/>
        <w:rPr>
          <w:sz w:val="40"/>
          <w:szCs w:val="40"/>
        </w:rPr>
      </w:pPr>
      <w:r>
        <w:rPr>
          <w:sz w:val="40"/>
          <w:szCs w:val="40"/>
        </w:rPr>
        <w:t xml:space="preserve">Il 10 giugno 1940, l’Italia entra in guerra… 11 agosto 1944: Firenze è liberata e attraverso le pagine del </w:t>
      </w:r>
      <w:r>
        <w:rPr>
          <w:i/>
          <w:iCs/>
          <w:sz w:val="40"/>
          <w:szCs w:val="40"/>
        </w:rPr>
        <w:t>Bollettino dell’Arcidiocesi</w:t>
      </w:r>
      <w:r>
        <w:rPr>
          <w:sz w:val="40"/>
          <w:szCs w:val="40"/>
        </w:rPr>
        <w:t xml:space="preserve"> il cardinale Elia della Costa fa diramare un comunicato di questo tenore:“Facciamo obbligo a tutti i parroci di stendere per il </w:t>
      </w:r>
      <w:r>
        <w:rPr>
          <w:i/>
          <w:sz w:val="40"/>
          <w:szCs w:val="40"/>
        </w:rPr>
        <w:t>Libro Cronico</w:t>
      </w:r>
      <w:r>
        <w:rPr>
          <w:sz w:val="40"/>
          <w:szCs w:val="40"/>
        </w:rPr>
        <w:t xml:space="preserve"> della parrocchia un’ampia relazione sulle vicende subite dalla parrocchia stessa durante gli anni della guerra mondiale 1939-1944. Incursioni, occupazioni, sfollamenti, devastazioni, vessazioni, spionaggi, violenze, deportazioni, rapine, fatti di sangue, torture, fucilazioni, massacri, sacrilegi, infamie d’ogni genere, tutto dovrà essere narrato nella relazione. Gli avvenimenti catastrofici che hanno riempito di sé un intero lustro devono essere tramandati alla storia con fedeltà massima e con grande ampiezza di particolari: Di tale relazione si faccia poi una copia da spedirsi direttamente all’arcivescovo che aggiungerà tutte le relazioni al copioso materiale da lui stesso raccolto durante il conflitto; se ne avrà una poderosa documentazione sui caratteri e sulla portata della guerra….Gli anni passeranno, le generazioni si succederanno con perenne vicenda, ma rimarrà il ricordo </w:t>
      </w:r>
      <w:r>
        <w:rPr>
          <w:sz w:val="40"/>
          <w:szCs w:val="40"/>
        </w:rPr>
        <w:lastRenderedPageBreak/>
        <w:t>infaustissimo di questa guerra, immane piramide di delitti…Le nostre relazioni, conservate nei rispettivi archivi, provocheranno lo stupore e l’orrore dei secoli, ma illumineranno anche le generazioni avvenire…”</w:t>
      </w:r>
      <w:r>
        <w:rPr>
          <w:rStyle w:val="FootnoteCharacters"/>
          <w:sz w:val="40"/>
          <w:szCs w:val="40"/>
        </w:rPr>
        <w:footnoteReference w:id="72"/>
      </w:r>
      <w:r>
        <w:rPr>
          <w:sz w:val="40"/>
          <w:szCs w:val="40"/>
        </w:rPr>
        <w:t xml:space="preserve">. Poco più avanti nel testo Elia dalla Costa rivendica anche un ruolo fattivo primario alla chiesa fiorentina. “Conosciamo perfettamente che il clero e i parroci specialmente, non solo furono i primi ad ogni opera di bene, ma dell’assistenza privata e pubblica sono stati gli attivi e intelligenti organizzatori e anche questo si esponga nella relazione che richiediamo: </w:t>
      </w:r>
      <w:r>
        <w:rPr>
          <w:i/>
          <w:sz w:val="40"/>
          <w:szCs w:val="40"/>
        </w:rPr>
        <w:t>tempus tacendi et tempus loquendi</w:t>
      </w:r>
      <w:r>
        <w:rPr>
          <w:sz w:val="40"/>
          <w:szCs w:val="40"/>
        </w:rPr>
        <w:t>. E ora è il tempo di significare quale fu per il pubblico bene l’opera del clero…”</w:t>
      </w:r>
      <w:r>
        <w:rPr>
          <w:rStyle w:val="FootnoteCharacters"/>
          <w:sz w:val="40"/>
          <w:szCs w:val="40"/>
        </w:rPr>
        <w:footnoteReference w:id="73"/>
      </w:r>
    </w:p>
    <w:p w14:paraId="2FA82947" w14:textId="77777777" w:rsidR="00000000" w:rsidRDefault="00000000">
      <w:pPr>
        <w:ind w:firstLine="708"/>
        <w:jc w:val="both"/>
      </w:pPr>
      <w:r>
        <w:rPr>
          <w:sz w:val="40"/>
          <w:szCs w:val="40"/>
        </w:rPr>
        <w:t xml:space="preserve">Egli stesso durante questi anni difficili si era impegnato attivamente a salvare la sua diocesi dalle devastazioni belliche, aveva soccorso la popolazione e gli sfollati, cercando di fornire loro alloggio, vestiario e viveri, ma soprattutto si era dato da fare per salvare gli ebrei fiorentini o profughi a Firenze grazie anche all’aiuto del domenicano Ricotti, legato a La Pira e di don Leto Casini (medaglia d’oro della Repubblica Italiana alla memoria e annoverato tra i giusti tra le nazioni) che incaricò nell’ottobre del 1943, cioè subito dopo la fuga del re e di Badoglio, di occuparsi dell’assistenza degli ebrei perseguitati. Con il rabbino di Firenze Nathan Cassuto e un gruppo di volontari ebrei e cristiani, fu formato un comitato clandestino di assistenza che agiva come ultimo anello degli aiuti internazionali </w:t>
      </w:r>
      <w:r>
        <w:rPr>
          <w:sz w:val="40"/>
          <w:szCs w:val="40"/>
        </w:rPr>
        <w:lastRenderedPageBreak/>
        <w:t>forniti dalla DELASEM (Delegazione per l'Assistenza degli Emigranti Ebrei), un'organizzazione di resistenza ebraica che operò in tra il 1939 e il 1947. Vorrei qui ricordare che la DELASEM era un’organizzazione mista formata anche da non ebrei e all’origine autorizzata dal governo fascista. Il 26 novembre 1943, mentre il Comitato era in riunione presso il palazzo Pucci sede dell’Azione Cattolica, un infiltrato fece arrestare quasi l’intero Comitato. I membri ebrei, tra i quali il rabbino Cassuto, furono poi deportati a Auschwitz, mentre i cattolici furono messi in carcere. Dopo un breve periodo di prigionia Casini fu rilasciato, ma continuò tenacemente la propria attività clandestina</w:t>
      </w:r>
      <w:r>
        <w:rPr>
          <w:rStyle w:val="FootnoteCharacters"/>
          <w:sz w:val="40"/>
          <w:szCs w:val="40"/>
        </w:rPr>
        <w:footnoteReference w:id="74"/>
      </w:r>
      <w:r>
        <w:rPr>
          <w:sz w:val="40"/>
          <w:szCs w:val="40"/>
        </w:rPr>
        <w:t>.</w:t>
      </w:r>
    </w:p>
    <w:p w14:paraId="614454FE" w14:textId="77777777" w:rsidR="00000000" w:rsidRDefault="00000000">
      <w:pPr>
        <w:ind w:firstLine="708"/>
        <w:jc w:val="both"/>
      </w:pPr>
      <w:r>
        <w:rPr>
          <w:sz w:val="40"/>
          <w:szCs w:val="40"/>
        </w:rPr>
        <w:t>Anche monsignor Rosselli, seguendo le orme del suo arcivescovo, s’impegna  ad accogliere e soccorrere fiorentini e sfollati che necessitavano di tutto. Si deve ricordare a questo proposito che nell’odierno liceo Galilei, a pochi passi dalla Basilica, presso l’istituto degli scolopi di San Giovannino, furono accolti ben 460 sfollati</w:t>
      </w:r>
      <w:r>
        <w:rPr>
          <w:rStyle w:val="FootnoteCharacters"/>
          <w:sz w:val="40"/>
          <w:szCs w:val="40"/>
        </w:rPr>
        <w:footnoteReference w:id="75"/>
      </w:r>
      <w:r>
        <w:rPr>
          <w:sz w:val="40"/>
          <w:szCs w:val="40"/>
        </w:rPr>
        <w:t xml:space="preserve">, tra i quali vi erano perseguitati politici ed ebrei. Quale sia stato il ruolo svolto da monsignor Rosselli e dalle associazioni laicali presenti sul territorio della parrocchia ancora non è stato rilevato, ma dalle colonne di </w:t>
      </w:r>
      <w:r>
        <w:rPr>
          <w:i/>
          <w:sz w:val="40"/>
          <w:szCs w:val="40"/>
        </w:rPr>
        <w:t>Voce paterna,</w:t>
      </w:r>
      <w:r>
        <w:rPr>
          <w:sz w:val="40"/>
          <w:szCs w:val="40"/>
        </w:rPr>
        <w:t xml:space="preserve"> il bollettino parrocchiale (</w:t>
      </w:r>
      <w:r>
        <w:rPr>
          <w:sz w:val="40"/>
          <w:szCs w:val="40"/>
          <w:highlight w:val="yellow"/>
        </w:rPr>
        <w:t>Fig. 9</w:t>
      </w:r>
      <w:r>
        <w:rPr>
          <w:sz w:val="40"/>
          <w:szCs w:val="40"/>
        </w:rPr>
        <w:t xml:space="preserve">), Rosselli continuò fino al luglio del 1944 a esortare i fedeli alla carità, all’accoglienza e alla fraternità. Il bollettino uscì nuovamente nel settembre del 1945 con il programma di riprendere la pubblicazione da dove era stata interrotta. Secondo monsignor Rosselli, </w:t>
      </w:r>
      <w:r>
        <w:rPr>
          <w:i/>
          <w:sz w:val="40"/>
          <w:szCs w:val="40"/>
        </w:rPr>
        <w:lastRenderedPageBreak/>
        <w:t>Voce paterna,</w:t>
      </w:r>
      <w:r>
        <w:rPr>
          <w:sz w:val="40"/>
          <w:szCs w:val="40"/>
        </w:rPr>
        <w:t xml:space="preserve"> avrebbe portato negli animi dei parrocchiani “una buona parola, un po’ di cronaca del terribile periodo che avevano trascorso, e rinvigorito il movimento parrocchiale sul quale facevano conto specialmente coloro che in quel tempo avevano avuto cambiamenti nella loro vita familiare”.</w:t>
      </w:r>
      <w:r>
        <w:rPr>
          <w:rStyle w:val="FootnoteCharacters"/>
          <w:sz w:val="40"/>
          <w:szCs w:val="40"/>
        </w:rPr>
        <w:footnoteReference w:id="76"/>
      </w:r>
      <w:r>
        <w:rPr>
          <w:sz w:val="40"/>
          <w:szCs w:val="40"/>
        </w:rPr>
        <w:t xml:space="preserve"> </w:t>
      </w:r>
    </w:p>
    <w:p w14:paraId="157D8A10" w14:textId="77777777" w:rsidR="00000000" w:rsidRDefault="00000000">
      <w:pPr>
        <w:ind w:firstLine="708"/>
        <w:jc w:val="both"/>
      </w:pPr>
      <w:r>
        <w:rPr>
          <w:sz w:val="40"/>
          <w:szCs w:val="40"/>
        </w:rPr>
        <w:t xml:space="preserve">Il bollettino parrocchiale e il </w:t>
      </w:r>
      <w:r>
        <w:rPr>
          <w:i/>
          <w:sz w:val="40"/>
          <w:szCs w:val="40"/>
        </w:rPr>
        <w:t>Liber Chronicus</w:t>
      </w:r>
      <w:r>
        <w:rPr>
          <w:sz w:val="40"/>
          <w:szCs w:val="40"/>
        </w:rPr>
        <w:t xml:space="preserve"> sono quindi due fonti importantissime per la ricostruzione della storia parrocchiale di questi anni, poiché il periodico diventa anche una sorta di esercizio per la compilazione futura del libro cronico, di cui risulta spesso più articolato e dettagliato, tanto che Rosselli, nella relazione richiesta dall’arcivescovo, rimanda agli articoli del bollettino.</w:t>
      </w:r>
    </w:p>
    <w:p w14:paraId="0C264FF9" w14:textId="77777777" w:rsidR="00000000" w:rsidRDefault="00000000">
      <w:pPr>
        <w:pStyle w:val="NormaleWeb"/>
        <w:spacing w:before="0" w:after="0"/>
        <w:ind w:firstLine="708"/>
        <w:jc w:val="both"/>
      </w:pPr>
      <w:r>
        <w:rPr>
          <w:sz w:val="40"/>
          <w:szCs w:val="40"/>
        </w:rPr>
        <w:t xml:space="preserve">La relazione, sebbene scritta dopo oltre un anno, risulta abbastanza puntuale grazie ad alcuni appunti che il Rosselli aveva via via annotato. Il priore registrò, ad esempio, i bombardamenti di Pisa, Prato e Pontedera e gli allarmi aerei che terrorizzavano la popolazione fiorentina: nel 1943, tra il 17 maggio e il 31 agosto, la sirena suonò una quarantina di volte e il periodo che va dalla caduta di Mussolini alla fuga del re e di Badoglio è connotato da un’altalena continua d’incertezze, di speranze e di delusioni: la caduta di Mussolini, la notizia giuntagli alle 11 della sera del 25 luglio, provocò “una gioia universale. La guerra è terminata, si diceva, siamo in pace, ma il giorno dopo un altro allarme portò in tutti lo sgomento. In relazione al 9 settembre il priore scriveva “Da quest’epoca i nostri nemici divennero i nostri alleati e i nostri liberatori, e i tedeschi fecero man bassa in questa nostra povera patria prima di </w:t>
      </w:r>
      <w:r>
        <w:rPr>
          <w:sz w:val="40"/>
          <w:szCs w:val="40"/>
        </w:rPr>
        <w:lastRenderedPageBreak/>
        <w:t>lasciare il suolo italiano. Quante rovine si sarebbero risparmiate se la guerra fosse finita in questi giorni. Ma la guerra continuò  e il 24 settembre fu dato nuovamente l’allarme, il giorno appresso fu la volta della nostra città. E con quante vittime! La domenica 26 suonò l’allarme alle 6,30 e durò fino alle 7,45, un secondo dalle 8,35 alle 9. Si celebrò la santa messa nel rifugio zeppo di gente e nella cappella del capitolo per coloro che si trovavano nei chiostri. Dalle 13 alle 14 un terzo allarme e il giorno appresso si stette in allarme dalle 11,40 alle 14. Non ne potevamo più. E basta colla triste cronaca”</w:t>
      </w:r>
      <w:r>
        <w:rPr>
          <w:rStyle w:val="FootnoteCharacters"/>
          <w:sz w:val="40"/>
          <w:szCs w:val="40"/>
        </w:rPr>
        <w:footnoteReference w:id="77"/>
      </w:r>
      <w:r>
        <w:rPr>
          <w:sz w:val="40"/>
          <w:szCs w:val="40"/>
        </w:rPr>
        <w:t xml:space="preserve">. </w:t>
      </w:r>
    </w:p>
    <w:p w14:paraId="34D6B3DD" w14:textId="77777777" w:rsidR="00000000" w:rsidRDefault="00000000">
      <w:pPr>
        <w:pStyle w:val="NormaleWeb"/>
        <w:spacing w:before="0" w:after="0"/>
        <w:ind w:firstLine="709"/>
        <w:jc w:val="both"/>
      </w:pPr>
      <w:r>
        <w:rPr>
          <w:sz w:val="40"/>
          <w:szCs w:val="40"/>
        </w:rPr>
        <w:t>Il 1944 fu ancora più tragico: dopo la liberazione sembrava che tutto fosse terminato, ma invece iniziarono i cannoneggiamenti tedeschi. Fu una catastrofe: la Basilica fu colpita sette volte durante la notte tra il 18 e il 19 agosto, mentre la notte successiva fu bersagliata tre volte: i vetri e i tetti andarono in frantumi. Il cannoneggiamento del 20 agosto colpì poi in modo violento la parrocchia, molte persone morirono nelle strade a fianco della basilica in particolare in Borgo la Noce, Via Ginori, via Guelfa e altre. Più avanti nelle sue memorie lo sgomento di monsignor Rosselli traspare in modo inequivocabile: “E la gente che veniva fucilata, uccisa proditoriamente con spari e dalle finestre e da sottosuoli, deportata? Come abbiamo fatto a passare questo periodo, Dio solo lo sa. Noi non siam capaci di ripetere tutto quello che è successo in questo funesto anno 1944”</w:t>
      </w:r>
      <w:r>
        <w:rPr>
          <w:rStyle w:val="FootnoteCharacters"/>
          <w:sz w:val="40"/>
          <w:szCs w:val="40"/>
        </w:rPr>
        <w:footnoteReference w:id="78"/>
      </w:r>
      <w:r>
        <w:rPr>
          <w:sz w:val="40"/>
          <w:szCs w:val="40"/>
        </w:rPr>
        <w:t>.</w:t>
      </w:r>
    </w:p>
    <w:p w14:paraId="2BBEE5CD" w14:textId="77777777" w:rsidR="00000000" w:rsidRDefault="00000000">
      <w:pPr>
        <w:pStyle w:val="NormaleWeb"/>
        <w:spacing w:before="0" w:after="0"/>
        <w:ind w:firstLine="709"/>
        <w:jc w:val="both"/>
      </w:pPr>
      <w:r>
        <w:rPr>
          <w:sz w:val="40"/>
          <w:szCs w:val="40"/>
        </w:rPr>
        <w:t xml:space="preserve">La relazione scritta a seguito della notificazione del cardinale Elia Dalla Costa acquista nel corso del tempo un </w:t>
      </w:r>
      <w:r>
        <w:rPr>
          <w:sz w:val="40"/>
          <w:szCs w:val="40"/>
        </w:rPr>
        <w:lastRenderedPageBreak/>
        <w:t xml:space="preserve">tono diverso da quello voluto dall’Arcivescovo all’indomani della liberazione nel 1944. Qui sono sì denunciate le nefandezze e gli assassini di quegli anni, ma nel </w:t>
      </w:r>
      <w:r>
        <w:rPr>
          <w:i/>
          <w:sz w:val="40"/>
          <w:szCs w:val="40"/>
        </w:rPr>
        <w:t>Liber Chronicus</w:t>
      </w:r>
      <w:r>
        <w:rPr>
          <w:sz w:val="40"/>
          <w:szCs w:val="40"/>
        </w:rPr>
        <w:t xml:space="preserve"> raramente si rintraccia un nome sia esso di vittima o di carnefice, poiché il priore rimanda al </w:t>
      </w:r>
      <w:r>
        <w:rPr>
          <w:i/>
          <w:sz w:val="40"/>
          <w:szCs w:val="40"/>
        </w:rPr>
        <w:t>Bollettino parrocchiale</w:t>
      </w:r>
      <w:r>
        <w:rPr>
          <w:sz w:val="40"/>
          <w:szCs w:val="40"/>
        </w:rPr>
        <w:t>. Rosselli, come abbiamo visto punta alla descrizione dello stato psicologico suo e della popolazione e a questo desiderio di andare avanti, di procedere nella pace e nella ricostruzione. Egli stesso scrive: “…lasciamo ormai di parlare di guerra: è terminata grazie a Dio non la ricordiamo più”</w:t>
      </w:r>
      <w:r>
        <w:rPr>
          <w:rStyle w:val="FootnoteCharacters"/>
          <w:sz w:val="40"/>
          <w:szCs w:val="40"/>
        </w:rPr>
        <w:footnoteReference w:id="79"/>
      </w:r>
      <w:r>
        <w:rPr>
          <w:sz w:val="40"/>
          <w:szCs w:val="40"/>
        </w:rPr>
        <w:t xml:space="preserve">. </w:t>
      </w:r>
    </w:p>
    <w:p w14:paraId="5582AC02" w14:textId="77777777" w:rsidR="00000000" w:rsidRDefault="00000000">
      <w:pPr>
        <w:pStyle w:val="NormaleWeb"/>
        <w:spacing w:before="0" w:after="0"/>
        <w:ind w:firstLine="709"/>
        <w:jc w:val="both"/>
      </w:pPr>
      <w:r>
        <w:rPr>
          <w:sz w:val="40"/>
          <w:szCs w:val="40"/>
        </w:rPr>
        <w:t>Poco per volta la vita riprende e un segno di normalità è dato anche dalla risistemazione al loro posto delle opere d’arte: prima di ricollocare le statue di Michelangelo rimosse durante la guerra fu fatta la ricognizione delle salme dei Medici</w:t>
      </w:r>
      <w:r>
        <w:rPr>
          <w:rStyle w:val="FootnoteCharacters"/>
          <w:sz w:val="40"/>
          <w:szCs w:val="40"/>
        </w:rPr>
        <w:footnoteReference w:id="80"/>
      </w:r>
      <w:r>
        <w:rPr>
          <w:sz w:val="40"/>
          <w:szCs w:val="40"/>
        </w:rPr>
        <w:t>, successivamente furono riportate in basilica le statue con il tabernacolo di Desiderio da Settignano, le porte bronzee della sagrestia nuova e le altre opere d’arte</w:t>
      </w:r>
      <w:r>
        <w:rPr>
          <w:rStyle w:val="FootnoteCharacters"/>
          <w:sz w:val="40"/>
          <w:szCs w:val="40"/>
        </w:rPr>
        <w:footnoteReference w:id="81"/>
      </w:r>
      <w:r>
        <w:rPr>
          <w:sz w:val="40"/>
          <w:szCs w:val="40"/>
        </w:rPr>
        <w:t xml:space="preserve">. Man mano che venivano smontate le armature costruite per riparare i monumenti questi venivamo ripuliti, i marmi venivano lavati, i muri imbiancati, le opere d’arte restaurate. </w:t>
      </w:r>
    </w:p>
    <w:p w14:paraId="110DADF5" w14:textId="77777777" w:rsidR="00000000" w:rsidRDefault="00000000">
      <w:pPr>
        <w:pStyle w:val="NormaleWeb"/>
        <w:spacing w:before="0" w:after="0"/>
        <w:ind w:firstLine="709"/>
        <w:jc w:val="both"/>
      </w:pPr>
      <w:r>
        <w:rPr>
          <w:sz w:val="40"/>
          <w:szCs w:val="40"/>
        </w:rPr>
        <w:t xml:space="preserve">Ovunque c’era il desiderio di guardare oltre: anche le canzonette popolari riecheggiavano questo stato d’animo, e a questo proposito basterà pensare al famoso ritornello </w:t>
      </w:r>
      <w:r>
        <w:rPr>
          <w:i/>
          <w:iCs/>
          <w:sz w:val="40"/>
          <w:szCs w:val="40"/>
        </w:rPr>
        <w:t>Chi ha avuto ha avuto chi ha dato ha dato scordammoce o passato</w:t>
      </w:r>
      <w:r>
        <w:rPr>
          <w:sz w:val="40"/>
          <w:szCs w:val="40"/>
        </w:rPr>
        <w:t xml:space="preserve"> scritta proprio nel 1944 durante l’occupazione </w:t>
      </w:r>
      <w:r>
        <w:rPr>
          <w:sz w:val="40"/>
          <w:szCs w:val="40"/>
        </w:rPr>
        <w:lastRenderedPageBreak/>
        <w:t>americana di Napoli. Vorrei ricordare di questa canzone  anche un altro verso che tradotto suona così: “ora ridiamo ora cantiamo, abbiamo scordato il coprifuoco, vogliamo  soltanto andare avanti…”</w:t>
      </w:r>
      <w:r>
        <w:rPr>
          <w:rStyle w:val="FootnoteCharacters"/>
          <w:sz w:val="40"/>
          <w:szCs w:val="40"/>
        </w:rPr>
        <w:footnoteReference w:id="82"/>
      </w:r>
      <w:r>
        <w:rPr>
          <w:sz w:val="40"/>
          <w:szCs w:val="40"/>
        </w:rPr>
        <w:t xml:space="preserve"> </w:t>
      </w:r>
    </w:p>
    <w:p w14:paraId="54D752B0" w14:textId="77777777" w:rsidR="0044695E" w:rsidRDefault="00000000">
      <w:pPr>
        <w:pStyle w:val="NormaleWeb"/>
        <w:spacing w:before="0" w:after="0"/>
        <w:ind w:firstLine="709"/>
        <w:jc w:val="both"/>
      </w:pPr>
      <w:r>
        <w:rPr>
          <w:sz w:val="40"/>
          <w:szCs w:val="40"/>
        </w:rPr>
        <w:t xml:space="preserve">Questo desiderio di mettere una pietra sul passato è generale e sentita in tutti gli strati sociali soprattutto, usando le stesse parole di Monsignor Rosselli, dopo il periodo del terrore che aveva ridotto gli uomini alla stessa stregua di bestie. Ma questa volontà manifesta di riappacificazione risultava per altro necessaria in seguito sia ai nuovi indirizzi di politica nazionale (vedi ad esempio il disegno di amnistia di Togliatti), sia di quella internazionale e agli accordi, non a tutti noti, per la sistemazione delle zone d’influenza tra il mondo occidentale e il blocco socialista guidato dall’URSS. </w:t>
      </w:r>
      <w:bookmarkStart w:id="0" w:name="OLE_LINK2"/>
      <w:bookmarkEnd w:id="0"/>
    </w:p>
    <w:sectPr w:rsidR="0044695E">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20"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E2AD1D" w14:textId="77777777" w:rsidR="0044695E" w:rsidRDefault="0044695E">
      <w:r>
        <w:separator/>
      </w:r>
    </w:p>
  </w:endnote>
  <w:endnote w:type="continuationSeparator" w:id="0">
    <w:p w14:paraId="7EB0539E" w14:textId="77777777" w:rsidR="0044695E" w:rsidRDefault="00446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4D"/>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3E6CCF" w14:textId="77777777" w:rsidR="00410E4D" w:rsidRDefault="00410E4D">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E09978" w14:textId="77777777" w:rsidR="00000000" w:rsidRDefault="00410E4D">
    <w:pPr>
      <w:pStyle w:val="Pidipagina"/>
      <w:ind w:right="360"/>
    </w:pPr>
    <w:r>
      <w:rPr>
        <w:noProof/>
      </w:rPr>
      <mc:AlternateContent>
        <mc:Choice Requires="wps">
          <w:drawing>
            <wp:anchor distT="0" distB="0" distL="0" distR="0" simplePos="0" relativeHeight="251657728" behindDoc="0" locked="0" layoutInCell="1" allowOverlap="1" wp14:anchorId="25C80DE6" wp14:editId="06C9F378">
              <wp:simplePos x="0" y="0"/>
              <wp:positionH relativeFrom="page">
                <wp:align>right</wp:align>
              </wp:positionH>
              <wp:positionV relativeFrom="paragraph">
                <wp:posOffset>635</wp:posOffset>
              </wp:positionV>
              <wp:extent cx="152400" cy="174625"/>
              <wp:effectExtent l="0" t="0" r="0" b="0"/>
              <wp:wrapSquare wrapText="largest"/>
              <wp:docPr id="114918327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240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40F0A6" w14:textId="77777777" w:rsidR="00000000" w:rsidRDefault="00000000">
                          <w:pPr>
                            <w:pStyle w:val="Pidipagina"/>
                          </w:pPr>
                          <w:r>
                            <w:rPr>
                              <w:rStyle w:val="Numeropagina"/>
                            </w:rPr>
                            <w:fldChar w:fldCharType="begin"/>
                          </w:r>
                          <w:r>
                            <w:rPr>
                              <w:rStyle w:val="Numeropagina"/>
                            </w:rPr>
                            <w:instrText xml:space="preserve"> PAGE </w:instrText>
                          </w:r>
                          <w:r>
                            <w:rPr>
                              <w:rStyle w:val="Numeropagina"/>
                            </w:rPr>
                            <w:fldChar w:fldCharType="separate"/>
                          </w:r>
                          <w:r>
                            <w:rPr>
                              <w:rStyle w:val="Numeropagina"/>
                            </w:rPr>
                            <w:t>34</w:t>
                          </w:r>
                          <w:r>
                            <w:rPr>
                              <w:rStyle w:val="Numeropagina"/>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C80DE6" id="_x0000_t202" coordsize="21600,21600" o:spt="202" path="m,l,21600r21600,l21600,xe">
              <v:stroke joinstyle="miter"/>
              <v:path gradientshapeok="t" o:connecttype="rect"/>
            </v:shapetype>
            <v:shape id="Text Box 1" o:spid="_x0000_s1026" type="#_x0000_t202" style="position:absolute;margin-left:-39.2pt;margin-top:.05pt;width:12pt;height:13.75pt;z-index:251657728;visibility:visible;mso-wrap-style:square;mso-width-percent:0;mso-height-percent:0;mso-wrap-distance-left:0;mso-wrap-distance-top:0;mso-wrap-distance-right:0;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" stroked="f">
              <v:fill opacity="0"/>
              <v:path arrowok="t"/>
              <v:textbox inset="0,0,0,0">
                <w:txbxContent>
                  <w:p w14:paraId="6C40F0A6" w14:textId="77777777" w:rsidR="00000000" w:rsidRDefault="00000000">
                    <w:pPr>
                      <w:pStyle w:val="Pidipagina"/>
                    </w:pPr>
                    <w:r>
                      <w:rPr>
                        <w:rStyle w:val="Numeropagina"/>
                      </w:rPr>
                      <w:fldChar w:fldCharType="begin"/>
                    </w:r>
                    <w:r>
                      <w:rPr>
                        <w:rStyle w:val="Numeropagina"/>
                      </w:rPr>
                      <w:instrText xml:space="preserve"> PAGE </w:instrText>
                    </w:r>
                    <w:r>
                      <w:rPr>
                        <w:rStyle w:val="Numeropagina"/>
                      </w:rPr>
                      <w:fldChar w:fldCharType="separate"/>
                    </w:r>
                    <w:r>
                      <w:rPr>
                        <w:rStyle w:val="Numeropagina"/>
                      </w:rPr>
                      <w:t>34</w:t>
                    </w:r>
                    <w:r>
                      <w:rPr>
                        <w:rStyle w:val="Numeropagina"/>
                      </w:rPr>
                      <w:fldChar w:fldCharType="end"/>
                    </w:r>
                  </w:p>
                </w:txbxContent>
              </v:textbox>
              <w10:wrap type="square" side="largest" anchorx="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D9D09E" w14:textId="77777777" w:rsidR="00000000"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FDE2D4" w14:textId="77777777" w:rsidR="0044695E" w:rsidRDefault="0044695E">
      <w:r>
        <w:separator/>
      </w:r>
    </w:p>
  </w:footnote>
  <w:footnote w:type="continuationSeparator" w:id="0">
    <w:p w14:paraId="096D14E2" w14:textId="77777777" w:rsidR="0044695E" w:rsidRDefault="0044695E">
      <w:r>
        <w:continuationSeparator/>
      </w:r>
    </w:p>
  </w:footnote>
  <w:footnote w:id="1">
    <w:p w14:paraId="2C457987" w14:textId="77777777" w:rsidR="00000000" w:rsidRDefault="00000000">
      <w:pPr>
        <w:pStyle w:val="Testonotaapidipagina"/>
        <w:jc w:val="both"/>
      </w:pPr>
      <w:r>
        <w:rPr>
          <w:rStyle w:val="FootnoteCharacters"/>
        </w:rPr>
        <w:footnoteRef/>
      </w:r>
      <w:r>
        <w:t xml:space="preserve"> Cfr. le opere compilate dal Richa, dal Cianfogni e dal Moreni. Su quest’ultimo vedi: L. Pagliai, “Domenico Moreni e i canonici del Quattrocento” in </w:t>
      </w:r>
      <w:r>
        <w:rPr>
          <w:i/>
        </w:rPr>
        <w:t>Il Capitolo di San Lorenzo nel Quattrocento</w:t>
      </w:r>
      <w:r>
        <w:t>, a cura di P. Viti, Firenze 2006, pp. 305-318.</w:t>
      </w:r>
    </w:p>
  </w:footnote>
  <w:footnote w:id="2">
    <w:p w14:paraId="0053FF3F" w14:textId="77777777" w:rsidR="00000000" w:rsidRDefault="00000000">
      <w:pPr>
        <w:pStyle w:val="Testonotaapidipagina"/>
        <w:jc w:val="both"/>
      </w:pPr>
      <w:r>
        <w:rPr>
          <w:rStyle w:val="FootnoteCharacters"/>
        </w:rPr>
        <w:footnoteRef/>
      </w:r>
      <w:r>
        <w:t xml:space="preserve"> Vedi gli studi di G. Morolli e V. Tesi in </w:t>
      </w:r>
      <w:r>
        <w:rPr>
          <w:i/>
        </w:rPr>
        <w:t xml:space="preserve">San Lorenzo 393-1993. L’architettura le vicende della fabbrica, </w:t>
      </w:r>
      <w:r>
        <w:t xml:space="preserve">Firenze, 1993 </w:t>
      </w:r>
    </w:p>
  </w:footnote>
  <w:footnote w:id="3">
    <w:p w14:paraId="3173C724" w14:textId="77777777" w:rsidR="00000000" w:rsidRDefault="00000000">
      <w:pPr>
        <w:pStyle w:val="Testonotaapidipagina"/>
        <w:jc w:val="both"/>
      </w:pPr>
      <w:r>
        <w:rPr>
          <w:rStyle w:val="FootnoteCharacters"/>
        </w:rPr>
        <w:footnoteRef/>
      </w:r>
      <w:r>
        <w:t xml:space="preserve"> Mi sia permesso rimandare al mio contributo “Sul rotolo del libro di me è scritto…(salmo 40,8-9). Fede e cultura nelle carte di monsignor Angiolo Livi” in </w:t>
      </w:r>
      <w:r>
        <w:rPr>
          <w:i/>
        </w:rPr>
        <w:t xml:space="preserve">Caritas Pastoralis. Strenna spirituale in onore di mos. Angiolo Livi, </w:t>
      </w:r>
      <w:r>
        <w:t>a cura di E. Giannarelli, C. Nardi, V. Novembri, Firenze, s.d. (2006), pp. 143-155.</w:t>
      </w:r>
    </w:p>
  </w:footnote>
  <w:footnote w:id="4">
    <w:p w14:paraId="41AB6CD9" w14:textId="77777777" w:rsidR="00000000" w:rsidRDefault="00000000">
      <w:pPr>
        <w:pStyle w:val="Testonotaapidipagina"/>
        <w:jc w:val="both"/>
      </w:pPr>
      <w:r>
        <w:rPr>
          <w:rStyle w:val="FootnoteCharacters"/>
        </w:rPr>
        <w:footnoteRef/>
      </w:r>
      <w:r>
        <w:t xml:space="preserve"> A questo proposito vedi la scheda scritta da P. Larson,  “Liquidazione dell’Asse ecclesiastico” in </w:t>
      </w:r>
      <w:r>
        <w:rPr>
          <w:i/>
        </w:rPr>
        <w:t>San Lorenzo. I documenti e i tesori nascosti</w:t>
      </w:r>
      <w:r>
        <w:t xml:space="preserve">, Firenze 1993, p. 67 e la breve guida </w:t>
      </w:r>
      <w:r>
        <w:rPr>
          <w:i/>
        </w:rPr>
        <w:t>Archivio del Capitolo di San Lorenzo</w:t>
      </w:r>
      <w:r>
        <w:t xml:space="preserve">, a cura di </w:t>
      </w:r>
      <w:r>
        <w:rPr>
          <w:smallCaps/>
        </w:rPr>
        <w:t xml:space="preserve">S. Puccetti, </w:t>
      </w:r>
      <w:r>
        <w:t>Firenze, 2005</w:t>
      </w:r>
      <w:r>
        <w:rPr>
          <w:highlight w:val="yellow"/>
        </w:rPr>
        <w:t xml:space="preserve">; Quanto ancora siano poco studiate le compagnie laicali tra l’800 e il 900 è evidente anche in L. Sebregondi, “Alle radici della Sagrestia vecchia: Brunelleschi, i Medici, i confratelli del Santissimo Sacramento” in </w:t>
      </w:r>
      <w:r>
        <w:rPr>
          <w:i/>
          <w:highlight w:val="yellow"/>
        </w:rPr>
        <w:t xml:space="preserve">Il tesoro di san Lorenzo, </w:t>
      </w:r>
      <w:r>
        <w:rPr>
          <w:highlight w:val="yellow"/>
        </w:rPr>
        <w:t xml:space="preserve"> a cura di E. Nardinocchi  e L. Sebregondi, Firenze, 2007, pp. 11-31.</w:t>
      </w:r>
      <w:r>
        <w:t xml:space="preserve"> Poco è stato scritto anche sulle compagnie laicali della parrocchia di san Lorenzo tra 800 e 900 vedi ad esempio </w:t>
      </w:r>
      <w:r>
        <w:rPr>
          <w:highlight w:val="yellow"/>
        </w:rPr>
        <w:t xml:space="preserve">L. Sebregondi, “Alle radici della Sagrestia vecchia: Brunelleschi, i Medici, i confratelli del Santissimo Sacramento” in </w:t>
      </w:r>
      <w:r>
        <w:rPr>
          <w:i/>
          <w:highlight w:val="yellow"/>
        </w:rPr>
        <w:t xml:space="preserve">Il tesoro di san Lorenzo, </w:t>
      </w:r>
      <w:r>
        <w:rPr>
          <w:highlight w:val="yellow"/>
        </w:rPr>
        <w:t xml:space="preserve"> a cura di E. Nardinocchi  e L. Sebregondi, Firenze, 2007, pp. 11-31.</w:t>
      </w:r>
    </w:p>
  </w:footnote>
  <w:footnote w:id="5">
    <w:p w14:paraId="687B8E9B" w14:textId="77777777" w:rsidR="00000000" w:rsidRDefault="00000000">
      <w:pPr>
        <w:pStyle w:val="Testonotaapidipagina"/>
        <w:jc w:val="both"/>
      </w:pPr>
      <w:r>
        <w:rPr>
          <w:rStyle w:val="FootnoteCharacters"/>
        </w:rPr>
        <w:footnoteRef/>
      </w:r>
      <w:r>
        <w:t xml:space="preserve"> Archivio di Stato di Firenze, (da qui in avanti ASFi), Catasto generale della Toscana, </w:t>
      </w:r>
      <w:r>
        <w:rPr>
          <w:i/>
          <w:iCs/>
        </w:rPr>
        <w:t xml:space="preserve">Indice generale dei possidenti della Toscana, </w:t>
      </w:r>
      <w:r>
        <w:t>vol. VII, lettera C, pp. 441-443 per Santa Maria del Fiore e pp. 445-446 per il Capitolo di San Lorenzo.</w:t>
      </w:r>
    </w:p>
  </w:footnote>
  <w:footnote w:id="6">
    <w:p w14:paraId="671ABEFA" w14:textId="77777777" w:rsidR="00000000" w:rsidRDefault="00000000">
      <w:pPr>
        <w:pStyle w:val="Testonotaapidipagina"/>
        <w:jc w:val="both"/>
      </w:pPr>
      <w:r>
        <w:rPr>
          <w:rStyle w:val="FootnoteCharacters"/>
        </w:rPr>
        <w:footnoteRef/>
      </w:r>
      <w:r>
        <w:t xml:space="preserve"> La misura di un quadrato corrisponde a 10.000 braccia quadre e a 0,340619 ettari. .</w:t>
      </w:r>
    </w:p>
  </w:footnote>
  <w:footnote w:id="7">
    <w:p w14:paraId="081D6187" w14:textId="77777777" w:rsidR="00000000" w:rsidRDefault="00000000">
      <w:pPr>
        <w:pStyle w:val="Testonotaapidipagina"/>
        <w:jc w:val="both"/>
      </w:pPr>
      <w:r>
        <w:rPr>
          <w:rStyle w:val="FootnoteCharacters"/>
        </w:rPr>
        <w:footnoteRef/>
      </w:r>
      <w:r>
        <w:t xml:space="preserve"> Nel 1837 la Commissione per l’ultimazione del catasto, incaricata fin dal  dicembre1834 di portare a termini i lavori, ritenne utile svolgere un indagine relativa alla distribuzione della proprietà nello stato toscano e contò 133.856 possessori. Dopo la compilazione dell</w:t>
      </w:r>
      <w:r>
        <w:rPr>
          <w:i/>
        </w:rPr>
        <w:t xml:space="preserve">’Indice generale dei possidenti della Toscana </w:t>
      </w:r>
      <w:r>
        <w:t xml:space="preserve">i deputati classarono i proprietari in 15 categorie. La prima prendeva in esame contribuenti con una rendita imponibile che andava da 1 lira a 100 lire, mentre l’ultima censiva i proprietari con rendite da 100.000 lire in su. Per ogni categoria veniva fornito anche il numero dei possidenti per cui si evinceva che quasi i due terzi della totalità erano compresi nella prima, mentre nell’ultima ne erano censiti 10. Il Capitolo di san Lorenzo rientrava nella classe tredicesima insieme ad altri ventuno contribuenti. Il prospetto della classazione è conservato nella filza </w:t>
      </w:r>
      <w:r>
        <w:rPr>
          <w:i/>
        </w:rPr>
        <w:t xml:space="preserve">Commissione per l’ultimazione del Catasto. Motupropri e Rescritti dell’anno 1837, </w:t>
      </w:r>
      <w:r>
        <w:t>in ASFi, Catasto generale toscano, n.7, R</w:t>
      </w:r>
      <w:r>
        <w:rPr>
          <w:iCs/>
        </w:rPr>
        <w:t>escritto</w:t>
      </w:r>
      <w:r>
        <w:t xml:space="preserve"> 65, cc. 99-104.</w:t>
      </w:r>
    </w:p>
  </w:footnote>
  <w:footnote w:id="8">
    <w:p w14:paraId="6A333050" w14:textId="77777777" w:rsidR="00000000" w:rsidRDefault="00000000">
      <w:pPr>
        <w:pStyle w:val="Testonotaapidipagina"/>
        <w:jc w:val="both"/>
      </w:pPr>
      <w:r>
        <w:rPr>
          <w:rStyle w:val="FootnoteCharacters"/>
        </w:rPr>
        <w:footnoteRef/>
      </w:r>
      <w:r>
        <w:t xml:space="preserve"> Per il primo evento il capitolo partecipò attivamente con un’offerta, illuminando la facciata della chiesa e invitando i sacerdoti  laurenziani ad andare in piazza Pitti per ringraziare il Granduca “per le riforme promesse alla Toscana”. Per la seconda circostanza, nell’adunanza capitolare del 12 aprile 1849, fu deciso di rendere grazia a Dio “per la cessata anarchia, per la restaurazione del Governo granducale e per il faustissimo ritorno nella capitale di Leopoldo II”; con una funzione solenne nella Chiesa addobbata come per la festa del patrono. Cfr Archivio Capitolare e Parrocchiale della Basilica di San Lorenzo (da qui in avanti ASL), </w:t>
      </w:r>
      <w:r>
        <w:rPr>
          <w:i/>
          <w:iCs/>
        </w:rPr>
        <w:t>Libro dei partiti</w:t>
      </w:r>
      <w:r>
        <w:t xml:space="preserve">, 1847-1889, n. 13, p. 7 e  pp.47-48 </w:t>
      </w:r>
    </w:p>
  </w:footnote>
  <w:footnote w:id="9">
    <w:p w14:paraId="48D156B6" w14:textId="77777777" w:rsidR="00000000" w:rsidRDefault="00000000">
      <w:pPr>
        <w:pStyle w:val="Testonotaapidipagina"/>
        <w:jc w:val="both"/>
      </w:pPr>
      <w:r>
        <w:rPr>
          <w:rStyle w:val="FootnoteCharacters"/>
        </w:rPr>
        <w:footnoteRef/>
      </w:r>
      <w:r>
        <w:t xml:space="preserve"> Il regio Luogotenente era il Balì Niccolò Martelli, mentre gli operai erano Mario Covoni, Bernardo Marchesini, R. Aldobrandini e A. Della Stufa. </w:t>
      </w:r>
    </w:p>
  </w:footnote>
  <w:footnote w:id="10">
    <w:p w14:paraId="21F8624E" w14:textId="77777777" w:rsidR="00000000" w:rsidRDefault="00000000">
      <w:pPr>
        <w:pStyle w:val="Testonotaapidipagina"/>
        <w:jc w:val="both"/>
      </w:pPr>
      <w:r>
        <w:rPr>
          <w:rStyle w:val="FootnoteCharacters"/>
        </w:rPr>
        <w:footnoteRef/>
      </w:r>
      <w:r>
        <w:t xml:space="preserve"> ASL, </w:t>
      </w:r>
      <w:r>
        <w:rPr>
          <w:i/>
          <w:iCs/>
        </w:rPr>
        <w:t>Libro dei partiti</w:t>
      </w:r>
      <w:r>
        <w:t xml:space="preserve">, 1847-1889, n. 13, p. 48 e sgg. </w:t>
      </w:r>
    </w:p>
  </w:footnote>
  <w:footnote w:id="11">
    <w:p w14:paraId="50E00A2D" w14:textId="77777777" w:rsidR="00000000" w:rsidRDefault="00000000">
      <w:pPr>
        <w:pStyle w:val="Testonotaapidipagina"/>
        <w:jc w:val="both"/>
      </w:pPr>
      <w:r>
        <w:rPr>
          <w:rStyle w:val="FootnoteCharacters"/>
        </w:rPr>
        <w:footnoteRef/>
      </w:r>
      <w:r>
        <w:t xml:space="preserve"> Vincenzo Salvagnoli (1802-1861), giurista, intellettuale e politico, fu un personaggio di spicco del Risorgimento italiano: fece parte del Gabinetto Vieusseux e dell’Accademia dei gergofili, ebbe rapporti epistolari con G. Capponi,  C. Cavour e Stendhal. Nel 1833 fu imprigionato per le sue posizioni liberali e nel 1859, durante il governo provvisorio, fu nominato ministro degli Affari Ecclesiastici in Toscana e l’anno successivo divenne senatore.  </w:t>
      </w:r>
      <w:r>
        <w:rPr>
          <w:color w:val="000000"/>
        </w:rPr>
        <w:t xml:space="preserve">Su di lui </w:t>
      </w:r>
      <w:r>
        <w:t xml:space="preserve">vedi: </w:t>
      </w:r>
      <w:r>
        <w:rPr>
          <w:i/>
          <w:iCs/>
          <w:color w:val="000000"/>
        </w:rPr>
        <w:t xml:space="preserve">Inventario  dell'Archivio </w:t>
      </w:r>
      <w:r>
        <w:rPr>
          <w:i/>
          <w:iCs/>
        </w:rPr>
        <w:t>Salvagnoli</w:t>
      </w:r>
      <w:r>
        <w:rPr>
          <w:i/>
          <w:iCs/>
          <w:color w:val="000000"/>
        </w:rPr>
        <w:t xml:space="preserve"> Marchetti</w:t>
      </w:r>
      <w:r>
        <w:rPr>
          <w:color w:val="000000"/>
        </w:rPr>
        <w:t xml:space="preserve">,  a cura di V. Arrighi, L. Guerrini, E. Insabato, S. Terreni, Pisa, 2002 e </w:t>
      </w:r>
      <w:r>
        <w:rPr>
          <w:rStyle w:val="titolo10"/>
          <w:rFonts w:cs="Times New Roman"/>
          <w:b w:val="0"/>
          <w:bCs w:val="0"/>
          <w:i/>
          <w:iCs/>
          <w:sz w:val="20"/>
          <w:szCs w:val="20"/>
        </w:rPr>
        <w:t>Il Risorgimento nazionale di Vincenzo Salvagnoli : politica, cultura giuridica ed economica nella Toscana dell'Ottocento</w:t>
      </w:r>
      <w:r>
        <w:rPr>
          <w:rStyle w:val="titolo10"/>
          <w:rFonts w:cs="Times New Roman"/>
          <w:b w:val="0"/>
          <w:bCs w:val="0"/>
          <w:sz w:val="20"/>
          <w:szCs w:val="20"/>
        </w:rPr>
        <w:t xml:space="preserve"> atti del Convegno, Empoli, 29-30 novembre 2002, Pisa, 2004. </w:t>
      </w:r>
    </w:p>
  </w:footnote>
  <w:footnote w:id="12">
    <w:p w14:paraId="3DF330E5" w14:textId="77777777" w:rsidR="00000000" w:rsidRDefault="00000000">
      <w:pPr>
        <w:pStyle w:val="Testonotaapidipagina"/>
        <w:jc w:val="both"/>
      </w:pPr>
      <w:r>
        <w:rPr>
          <w:rStyle w:val="FootnoteCharacters"/>
        </w:rPr>
        <w:footnoteRef/>
      </w:r>
      <w:r>
        <w:t xml:space="preserve"> ASL, </w:t>
      </w:r>
      <w:r>
        <w:rPr>
          <w:i/>
          <w:iCs/>
        </w:rPr>
        <w:t>Libro dei partiti</w:t>
      </w:r>
      <w:r>
        <w:t>, cit</w:t>
      </w:r>
      <w:r>
        <w:rPr>
          <w:i/>
          <w:iCs/>
        </w:rPr>
        <w:t>.</w:t>
      </w:r>
      <w:r>
        <w:t xml:space="preserve">, p. 50. Nel frattempo furono iniziati i lavori di spoglio per la compilazione dello stato attivo e passivo che furono eseguiti velocissimamente. Copia del “Parere dell’avv. Salvagnoli sul diritto del Capitolo di essere esente dalla revisione dei Sindaci del R. Governo” è custodito in ASL 3923, </w:t>
      </w:r>
      <w:r>
        <w:rPr>
          <w:i/>
        </w:rPr>
        <w:t xml:space="preserve">Filza di Toscana, MM, </w:t>
      </w:r>
      <w:r>
        <w:t>cc.609-630.</w:t>
      </w:r>
    </w:p>
  </w:footnote>
  <w:footnote w:id="13">
    <w:p w14:paraId="35A7A526" w14:textId="77777777" w:rsidR="00000000" w:rsidRDefault="00000000">
      <w:pPr>
        <w:pStyle w:val="Testonotaapidipagina"/>
        <w:jc w:val="both"/>
      </w:pPr>
      <w:r>
        <w:rPr>
          <w:rStyle w:val="FootnoteCharacters"/>
        </w:rPr>
        <w:footnoteRef/>
      </w:r>
      <w:r>
        <w:t xml:space="preserve"> ASL, </w:t>
      </w:r>
      <w:r>
        <w:rPr>
          <w:i/>
          <w:iCs/>
        </w:rPr>
        <w:t>Libro dei partiti</w:t>
      </w:r>
      <w:r>
        <w:t xml:space="preserve">, cit, p. 54. </w:t>
      </w:r>
    </w:p>
  </w:footnote>
  <w:footnote w:id="14">
    <w:p w14:paraId="7B77621E" w14:textId="77777777" w:rsidR="00000000" w:rsidRDefault="00000000">
      <w:pPr>
        <w:pStyle w:val="Testonotaapidipagina"/>
        <w:jc w:val="both"/>
      </w:pPr>
      <w:r>
        <w:rPr>
          <w:rStyle w:val="FootnoteCharacters"/>
        </w:rPr>
        <w:footnoteRef/>
      </w:r>
      <w:r>
        <w:rPr>
          <w:lang w:val="en-GB"/>
        </w:rPr>
        <w:t xml:space="preserve"> </w:t>
      </w:r>
      <w:r>
        <w:rPr>
          <w:i/>
          <w:iCs/>
          <w:lang w:val="en-GB"/>
        </w:rPr>
        <w:t>Ibid.,</w:t>
      </w:r>
      <w:r>
        <w:rPr>
          <w:lang w:val="en-GB"/>
        </w:rPr>
        <w:t xml:space="preserve"> p. 59.</w:t>
      </w:r>
    </w:p>
  </w:footnote>
  <w:footnote w:id="15">
    <w:p w14:paraId="2DFC0565" w14:textId="77777777" w:rsidR="00000000" w:rsidRDefault="00000000">
      <w:pPr>
        <w:pStyle w:val="Testonotaapidipagina"/>
        <w:jc w:val="both"/>
      </w:pPr>
      <w:r>
        <w:rPr>
          <w:rStyle w:val="FootnoteCharacters"/>
        </w:rPr>
        <w:footnoteRef/>
      </w:r>
      <w:r>
        <w:rPr>
          <w:i/>
          <w:iCs/>
        </w:rPr>
        <w:t xml:space="preserve"> Ibid., </w:t>
      </w:r>
      <w:r>
        <w:t xml:space="preserve">pp. 67-69. </w:t>
      </w:r>
    </w:p>
  </w:footnote>
  <w:footnote w:id="16">
    <w:p w14:paraId="3867CE21" w14:textId="77777777" w:rsidR="00000000" w:rsidRDefault="00000000">
      <w:pPr>
        <w:pStyle w:val="Testonotaapidipagina"/>
        <w:jc w:val="both"/>
      </w:pPr>
      <w:r>
        <w:rPr>
          <w:rStyle w:val="FootnoteCharacters"/>
        </w:rPr>
        <w:footnoteRef/>
      </w:r>
      <w:r>
        <w:t xml:space="preserve"> Cfr. la memoria inviata il 6 agosto 1851 dal  canonico Angelo Lanfredini a Francesco Giaconi, segretario del ministero degli affari ecclesiastici, in ASFi,  </w:t>
      </w:r>
      <w:r>
        <w:rPr>
          <w:i/>
          <w:iCs/>
        </w:rPr>
        <w:t>Ministero degli affari ecclesiastici,</w:t>
      </w:r>
      <w:r>
        <w:t xml:space="preserve"> busta  650, affare n. 106. Vedi anche ASFi, </w:t>
      </w:r>
      <w:r>
        <w:rPr>
          <w:i/>
          <w:iCs/>
        </w:rPr>
        <w:t xml:space="preserve">Ministero degli affari ecclesiastici, </w:t>
      </w:r>
      <w:r>
        <w:t>Protocollo ministeriale, reg. 117, pp. 332-339.</w:t>
      </w:r>
    </w:p>
  </w:footnote>
  <w:footnote w:id="17">
    <w:p w14:paraId="015BAB0C" w14:textId="77777777" w:rsidR="00000000" w:rsidRDefault="00000000">
      <w:pPr>
        <w:pStyle w:val="Testonotaapidipagina"/>
        <w:jc w:val="both"/>
      </w:pPr>
      <w:r>
        <w:rPr>
          <w:rStyle w:val="FootnoteCharacters"/>
        </w:rPr>
        <w:footnoteRef/>
      </w:r>
      <w:r>
        <w:t xml:space="preserve"> ASL, </w:t>
      </w:r>
      <w:r>
        <w:rPr>
          <w:i/>
          <w:iCs/>
        </w:rPr>
        <w:t>Libro dei partiti</w:t>
      </w:r>
      <w:r>
        <w:t>, cit., pp. 95-96</w:t>
      </w:r>
    </w:p>
  </w:footnote>
  <w:footnote w:id="18">
    <w:p w14:paraId="34BDA3C8" w14:textId="77777777" w:rsidR="00000000" w:rsidRDefault="00000000">
      <w:pPr>
        <w:pStyle w:val="Testonotaapidipagina"/>
        <w:jc w:val="both"/>
      </w:pPr>
      <w:r>
        <w:rPr>
          <w:rStyle w:val="FootnoteCharacters"/>
        </w:rPr>
        <w:footnoteRef/>
      </w:r>
      <w:r>
        <w:t xml:space="preserve"> </w:t>
      </w:r>
      <w:r>
        <w:rPr>
          <w:i/>
          <w:iCs/>
        </w:rPr>
        <w:t>Ibid.</w:t>
      </w:r>
      <w:r>
        <w:t>, p. 91.</w:t>
      </w:r>
    </w:p>
  </w:footnote>
  <w:footnote w:id="19">
    <w:p w14:paraId="6A4100E1" w14:textId="77777777" w:rsidR="00000000" w:rsidRDefault="00000000">
      <w:pPr>
        <w:pStyle w:val="Testonotaapidipagina"/>
        <w:jc w:val="both"/>
      </w:pPr>
      <w:r>
        <w:rPr>
          <w:rStyle w:val="FootnoteCharacters"/>
        </w:rPr>
        <w:footnoteRef/>
      </w:r>
      <w:r>
        <w:t xml:space="preserve"> Per la riorganizzazione degli obblighi, nell’adunanza dell’8 giugno 1853 vedi </w:t>
      </w:r>
      <w:r>
        <w:rPr>
          <w:i/>
          <w:iCs/>
        </w:rPr>
        <w:t xml:space="preserve">ibid., </w:t>
      </w:r>
      <w:r>
        <w:t xml:space="preserve"> p. 103  </w:t>
      </w:r>
    </w:p>
  </w:footnote>
  <w:footnote w:id="20">
    <w:p w14:paraId="5ACB992E" w14:textId="77777777" w:rsidR="00000000" w:rsidRDefault="00000000">
      <w:pPr>
        <w:pStyle w:val="Testonotaapidipagina"/>
        <w:jc w:val="both"/>
      </w:pPr>
      <w:r>
        <w:rPr>
          <w:rStyle w:val="FootnoteCharacters"/>
        </w:rPr>
        <w:footnoteRef/>
      </w:r>
      <w:r>
        <w:t xml:space="preserve"> Cfr. il partito dell’ 11 gennaio 1854 e quello del 10 maggio 1854, rispettivamente in </w:t>
      </w:r>
      <w:r>
        <w:rPr>
          <w:i/>
          <w:iCs/>
        </w:rPr>
        <w:t>ibid.</w:t>
      </w:r>
      <w:r>
        <w:t>,  p. 115 e 120.</w:t>
      </w:r>
    </w:p>
  </w:footnote>
  <w:footnote w:id="21">
    <w:p w14:paraId="4FC06F59" w14:textId="77777777" w:rsidR="00000000" w:rsidRDefault="00000000">
      <w:pPr>
        <w:pStyle w:val="Testonotaapidipagina"/>
        <w:jc w:val="both"/>
      </w:pPr>
      <w:r>
        <w:rPr>
          <w:rStyle w:val="FootnoteCharacters"/>
        </w:rPr>
        <w:footnoteRef/>
      </w:r>
      <w:r>
        <w:t xml:space="preserve"> Un altro immobile in condizioni fatiscenti era quello posto in via S. Reparata e per farvi i lavori di restauro gli inquilini furono sfrattati “non potendo in quello stato essere abitata ed essendo denaro gettato qualunque spesa vi si facesse per contentare i pigionali e andare avanti un altro poco” cfr. ASL, </w:t>
      </w:r>
      <w:r>
        <w:rPr>
          <w:i/>
          <w:iCs/>
        </w:rPr>
        <w:t>Libro dei partiti</w:t>
      </w:r>
      <w:r>
        <w:t xml:space="preserve">, cit., p. 174. </w:t>
      </w:r>
    </w:p>
  </w:footnote>
  <w:footnote w:id="22">
    <w:p w14:paraId="247C89EB" w14:textId="77777777" w:rsidR="00000000" w:rsidRDefault="00000000">
      <w:pPr>
        <w:pStyle w:val="Testonotaapidipagina"/>
        <w:jc w:val="both"/>
      </w:pPr>
      <w:r>
        <w:rPr>
          <w:rStyle w:val="FootnoteCharacters"/>
        </w:rPr>
        <w:footnoteRef/>
      </w:r>
      <w:r>
        <w:t xml:space="preserve"> </w:t>
      </w:r>
      <w:r>
        <w:rPr>
          <w:i/>
          <w:iCs/>
        </w:rPr>
        <w:t>Ibid.</w:t>
      </w:r>
      <w:r>
        <w:t xml:space="preserve">, p. 181. </w:t>
      </w:r>
    </w:p>
  </w:footnote>
  <w:footnote w:id="23">
    <w:p w14:paraId="58C3B504" w14:textId="77777777" w:rsidR="00000000" w:rsidRDefault="00000000">
      <w:pPr>
        <w:pStyle w:val="Testonotaapidipagina"/>
        <w:jc w:val="both"/>
      </w:pPr>
      <w:r>
        <w:rPr>
          <w:rStyle w:val="FootnoteCharacters"/>
        </w:rPr>
        <w:footnoteRef/>
      </w:r>
      <w:r>
        <w:t xml:space="preserve">. Il capitolo cedeva, come si legge nei verbali  “ogni sua ragione, ipoteca quale si trova avere contro tutti e singoli i suoi debitori per quel titolo, senza però garantire per nessun conto agli inquirenti ; ma vendendo il suo credito suol dirsi per un sacco d’ossa”, inoltre il capitolo voleva tutta la somma in un'unica volta </w:t>
      </w:r>
      <w:r>
        <w:rPr>
          <w:i/>
          <w:iCs/>
        </w:rPr>
        <w:t>Ibid.</w:t>
      </w:r>
      <w:r>
        <w:t>, p. 182</w:t>
      </w:r>
    </w:p>
  </w:footnote>
  <w:footnote w:id="24">
    <w:p w14:paraId="67044094" w14:textId="77777777" w:rsidR="00000000" w:rsidRDefault="00000000">
      <w:pPr>
        <w:pStyle w:val="Testonotaapidipagina"/>
        <w:jc w:val="both"/>
      </w:pPr>
      <w:r>
        <w:rPr>
          <w:rStyle w:val="FootnoteCharacters"/>
        </w:rPr>
        <w:footnoteRef/>
      </w:r>
      <w:r>
        <w:t xml:space="preserve"> </w:t>
      </w:r>
      <w:r>
        <w:rPr>
          <w:i/>
          <w:iCs/>
        </w:rPr>
        <w:t>Ibid.,</w:t>
      </w:r>
      <w:r>
        <w:t xml:space="preserve"> p. 204.</w:t>
      </w:r>
    </w:p>
  </w:footnote>
  <w:footnote w:id="25">
    <w:p w14:paraId="292E5DB6" w14:textId="77777777" w:rsidR="00000000" w:rsidRDefault="00000000">
      <w:pPr>
        <w:pStyle w:val="Testonotaapidipagina"/>
        <w:jc w:val="both"/>
      </w:pPr>
      <w:r>
        <w:rPr>
          <w:rStyle w:val="FootnoteCharacters"/>
        </w:rPr>
        <w:footnoteRef/>
      </w:r>
      <w:r>
        <w:t xml:space="preserve"> Il decreto del 14 febbraio 1861, come previsto dall’articolo 1, abolì l’autonomia relative alle attribuzioni esercitate dal Luogotenente e Governatore, ma solo con la legge n° 2248 del 20 marzo 1865 si giunse all’unificazione amministrativa del Regno d’Italia. Per quanto riguarda invece il codice penale questo restò in vigore fino all’applicazione del codice Zanardelli del 1890.</w:t>
      </w:r>
    </w:p>
  </w:footnote>
  <w:footnote w:id="26">
    <w:p w14:paraId="72CDD0D4" w14:textId="77777777" w:rsidR="00000000" w:rsidRDefault="00000000">
      <w:pPr>
        <w:pStyle w:val="Testonotaapidipagina"/>
        <w:jc w:val="both"/>
      </w:pPr>
      <w:r>
        <w:rPr>
          <w:rStyle w:val="FootnoteCharacters"/>
        </w:rPr>
        <w:footnoteRef/>
      </w:r>
      <w:r>
        <w:t xml:space="preserve"> Il motuproprio fu emanato l’11 giugno 1905. Il testo è consultabile nel sito ufficiale del Vaticano all’indirizzo: http://www.vatican.va/holy_father/pius_x/encyclicals/documents/hf_p-x_enc_11061905_il-fermo-proposito_it.html</w:t>
      </w:r>
    </w:p>
  </w:footnote>
  <w:footnote w:id="27">
    <w:p w14:paraId="5CD13A51" w14:textId="77777777" w:rsidR="00000000" w:rsidRDefault="00000000">
      <w:pPr>
        <w:pStyle w:val="Testonotaapidipagina"/>
        <w:jc w:val="both"/>
      </w:pPr>
      <w:r>
        <w:rPr>
          <w:rStyle w:val="FootnoteCharacters"/>
        </w:rPr>
        <w:footnoteRef/>
      </w:r>
      <w:r>
        <w:rPr>
          <w:lang w:val="de-DE"/>
        </w:rPr>
        <w:t xml:space="preserve"> </w:t>
      </w:r>
      <w:r>
        <w:rPr>
          <w:i/>
          <w:iCs/>
        </w:rPr>
        <w:t xml:space="preserve">Ibid., </w:t>
      </w:r>
      <w:r>
        <w:rPr>
          <w:lang w:val="de-DE"/>
        </w:rPr>
        <w:t xml:space="preserve">p. 177-178. </w:t>
      </w:r>
      <w:r>
        <w:t xml:space="preserve">L’ordine di ingiunzione di chiusura della chiesa per l’inizio dei lavori fu notificato con un rescritto. I restauri iniziarono il 2 gennaio 1860. Sui lavori di restauro e il sepolcreto dei Lorena vedi quanto scritto da </w:t>
      </w:r>
      <w:r>
        <w:rPr>
          <w:smallCaps/>
        </w:rPr>
        <w:t>v. tesi</w:t>
      </w:r>
      <w:r>
        <w:rPr>
          <w:i/>
          <w:iCs/>
        </w:rPr>
        <w:t>, San Lorenzo 393-1993. L’architettura le vicende della fabbrica</w:t>
      </w:r>
      <w:r>
        <w:t>, Firenze, 1993, pp. 163-168.</w:t>
      </w:r>
    </w:p>
  </w:footnote>
  <w:footnote w:id="28">
    <w:p w14:paraId="61B72571" w14:textId="77777777" w:rsidR="00000000" w:rsidRDefault="00000000">
      <w:pPr>
        <w:jc w:val="both"/>
      </w:pPr>
      <w:r>
        <w:rPr>
          <w:rStyle w:val="FootnoteCharacters"/>
        </w:rPr>
        <w:footnoteRef/>
      </w:r>
      <w:r>
        <w:rPr>
          <w:sz w:val="20"/>
          <w:szCs w:val="20"/>
        </w:rPr>
        <w:t xml:space="preserve"> Durante i lavori fu necessario trovare un altro luogo dove celebrare i riti sacri: fu deciso di officiare durante la settimana nella cappella dei sotterranei. Per i giorni festivi e per le occasioni particolari il Capitolo chiese ai Padri scolopi il permesso di utilizzare la loro chiesa di San Giovannino, permesso che questi accordarono previo un contratto scritto. Un anno dopo i lavori furono terminati e il 23 dicembre fu nuovamente consacrato l’altare maggiore con solenne cerimonia e furono concesse più indulgenze. Vedi ASL, </w:t>
      </w:r>
      <w:r>
        <w:rPr>
          <w:i/>
          <w:iCs/>
          <w:sz w:val="20"/>
          <w:szCs w:val="20"/>
        </w:rPr>
        <w:t>Libro dei partiti</w:t>
      </w:r>
      <w:r>
        <w:rPr>
          <w:sz w:val="20"/>
          <w:szCs w:val="20"/>
        </w:rPr>
        <w:t>, cit.,</w:t>
      </w:r>
      <w:r>
        <w:rPr>
          <w:i/>
          <w:sz w:val="20"/>
          <w:szCs w:val="20"/>
        </w:rPr>
        <w:t xml:space="preserve"> </w:t>
      </w:r>
      <w:r>
        <w:rPr>
          <w:sz w:val="20"/>
          <w:szCs w:val="20"/>
        </w:rPr>
        <w:t xml:space="preserve">pp. 221-224. </w:t>
      </w:r>
    </w:p>
  </w:footnote>
  <w:footnote w:id="29">
    <w:p w14:paraId="4A244F18" w14:textId="77777777" w:rsidR="00000000" w:rsidRDefault="00000000">
      <w:pPr>
        <w:pStyle w:val="Testonotaapidipagina"/>
        <w:jc w:val="both"/>
      </w:pPr>
      <w:r>
        <w:rPr>
          <w:rStyle w:val="FootnoteCharacters"/>
        </w:rPr>
        <w:footnoteRef/>
      </w:r>
      <w:r>
        <w:t xml:space="preserve"> </w:t>
      </w:r>
      <w:r>
        <w:rPr>
          <w:i/>
          <w:iCs/>
        </w:rPr>
        <w:t>Ibid.</w:t>
      </w:r>
      <w:r>
        <w:t>, pp.198-199</w:t>
      </w:r>
    </w:p>
  </w:footnote>
  <w:footnote w:id="30">
    <w:p w14:paraId="6DFB2CE6" w14:textId="77777777" w:rsidR="00000000" w:rsidRDefault="00000000">
      <w:pPr>
        <w:pStyle w:val="Testonotaapidipagina"/>
        <w:jc w:val="both"/>
      </w:pPr>
      <w:r>
        <w:rPr>
          <w:rStyle w:val="FootnoteCharacters"/>
        </w:rPr>
        <w:footnoteRef/>
      </w:r>
      <w:r>
        <w:t xml:space="preserve"> </w:t>
      </w:r>
      <w:r>
        <w:rPr>
          <w:smallCaps/>
        </w:rPr>
        <w:t xml:space="preserve">Gabriele Morolli, </w:t>
      </w:r>
      <w:r>
        <w:rPr>
          <w:i/>
          <w:iCs/>
        </w:rPr>
        <w:t xml:space="preserve">le “cento” facciate del Millenovecento, </w:t>
      </w:r>
      <w:r>
        <w:t xml:space="preserve"> in </w:t>
      </w:r>
      <w:r>
        <w:rPr>
          <w:i/>
          <w:iCs/>
        </w:rPr>
        <w:t>San Lorenzo 393-1993. L’architettura le vicende della fabbrica</w:t>
      </w:r>
      <w:r>
        <w:t xml:space="preserve">, Firenze, Alinea editrice, 1993, pp. 169-173. Vedi anche ASL, </w:t>
      </w:r>
      <w:r>
        <w:rPr>
          <w:i/>
        </w:rPr>
        <w:t>Piante e progetti per la facciata di S. Lorenzo</w:t>
      </w:r>
      <w:r>
        <w:t xml:space="preserve">, 2355, 6.  Anche il palazzo arcivescovile fu in parte abbattuto, a questo proposito vedi : </w:t>
      </w:r>
      <w:r>
        <w:rPr>
          <w:smallCaps/>
        </w:rPr>
        <w:t>t. verdon,</w:t>
      </w:r>
      <w:r>
        <w:t xml:space="preserve"> </w:t>
      </w:r>
      <w:r>
        <w:rPr>
          <w:i/>
          <w:iCs/>
        </w:rPr>
        <w:t>I Cardinali e il “Palazzo”</w:t>
      </w:r>
      <w:r>
        <w:t xml:space="preserve">, in “Firenze e i suoi Cardinali”, a cura di G. Aranci, Firenze, 2005, pp. 57-64; vedi anche per il ricco apparato fotografico </w:t>
      </w:r>
      <w:r>
        <w:rPr>
          <w:smallCaps/>
        </w:rPr>
        <w:t xml:space="preserve">E. Barletti, </w:t>
      </w:r>
      <w:r>
        <w:rPr>
          <w:i/>
          <w:iCs/>
          <w:smallCaps/>
        </w:rPr>
        <w:t>I</w:t>
      </w:r>
      <w:r>
        <w:rPr>
          <w:i/>
          <w:iCs/>
        </w:rPr>
        <w:t xml:space="preserve">l Palazzo Arcivescovile di Firenze. Vicende architettoniche dal 1533 al 1895, </w:t>
      </w:r>
      <w:r>
        <w:t xml:space="preserve"> Firenze 1989, ed in particolare le pp. 59-75.</w:t>
      </w:r>
    </w:p>
  </w:footnote>
  <w:footnote w:id="31">
    <w:p w14:paraId="57F663F2" w14:textId="77777777" w:rsidR="00000000" w:rsidRDefault="00000000">
      <w:pPr>
        <w:pStyle w:val="Testonotaapidipagina"/>
        <w:jc w:val="both"/>
      </w:pPr>
      <w:r>
        <w:rPr>
          <w:rStyle w:val="FootnoteCharacters"/>
        </w:rPr>
        <w:footnoteRef/>
      </w:r>
      <w:r>
        <w:t xml:space="preserve"> R.D., 7 luglio 1866, n° 3036 e R. D., 15 agosto 1867, n. 3848. </w:t>
      </w:r>
    </w:p>
  </w:footnote>
  <w:footnote w:id="32">
    <w:p w14:paraId="22652670" w14:textId="77777777" w:rsidR="00000000" w:rsidRDefault="00000000">
      <w:pPr>
        <w:pStyle w:val="Testonotaapidipagina"/>
        <w:jc w:val="both"/>
      </w:pPr>
      <w:r>
        <w:rPr>
          <w:rStyle w:val="FootnoteCharacters"/>
        </w:rPr>
        <w:footnoteRef/>
      </w:r>
      <w:r>
        <w:t xml:space="preserve"> ASL, </w:t>
      </w:r>
      <w:r>
        <w:rPr>
          <w:i/>
          <w:iCs/>
        </w:rPr>
        <w:t>Libro dei partiti</w:t>
      </w:r>
      <w:r>
        <w:t>, cit.,</w:t>
      </w:r>
      <w:r>
        <w:rPr>
          <w:i/>
        </w:rPr>
        <w:t xml:space="preserve"> </w:t>
      </w:r>
      <w:r>
        <w:t>pp. 226-230.</w:t>
      </w:r>
    </w:p>
  </w:footnote>
  <w:footnote w:id="33">
    <w:p w14:paraId="1D806344" w14:textId="77777777" w:rsidR="00000000" w:rsidRDefault="00000000">
      <w:pPr>
        <w:pStyle w:val="Testonotaapidipagina"/>
        <w:jc w:val="both"/>
      </w:pPr>
      <w:r>
        <w:rPr>
          <w:rStyle w:val="FootnoteCharacters"/>
        </w:rPr>
        <w:footnoteRef/>
      </w:r>
      <w:r>
        <w:t xml:space="preserve">  La bolla fu pubblicata in </w:t>
      </w:r>
      <w:r>
        <w:rPr>
          <w:i/>
          <w:iCs/>
        </w:rPr>
        <w:t>Acta Sanctae Sedis</w:t>
      </w:r>
      <w:r>
        <w:t>, vol. IV,1868. Nel 1968 ne è stato fatto un reprint, oggi riprodotto in pdf si legge al seguente sito:</w:t>
      </w:r>
    </w:p>
    <w:p w14:paraId="616CF39B" w14:textId="77777777" w:rsidR="00000000" w:rsidRDefault="00000000">
      <w:pPr>
        <w:pStyle w:val="Testonotaapidipagina"/>
        <w:jc w:val="both"/>
      </w:pPr>
      <w:hyperlink r:id="rId1" w:history="1">
        <w:r>
          <w:rPr>
            <w:rStyle w:val="Collegamentoipertestuale"/>
          </w:rPr>
          <w:t>http://www.vatican.va/archive/ass/documents/ASS%2004%20[1868]%20-%20ocr.pdf</w:t>
        </w:r>
      </w:hyperlink>
    </w:p>
  </w:footnote>
  <w:footnote w:id="34">
    <w:p w14:paraId="2BCA5B39" w14:textId="77777777" w:rsidR="00000000" w:rsidRDefault="00000000">
      <w:pPr>
        <w:pStyle w:val="Testonotaapidipagina"/>
        <w:jc w:val="both"/>
      </w:pPr>
      <w:r>
        <w:rPr>
          <w:rStyle w:val="FootnoteCharacters"/>
        </w:rPr>
        <w:footnoteRef/>
      </w:r>
      <w:r>
        <w:t xml:space="preserve"> ASL, </w:t>
      </w:r>
      <w:r>
        <w:rPr>
          <w:i/>
          <w:iCs/>
        </w:rPr>
        <w:t>Libro dei partiti</w:t>
      </w:r>
      <w:r>
        <w:t>, cit.,</w:t>
      </w:r>
      <w:r>
        <w:rPr>
          <w:i/>
        </w:rPr>
        <w:t xml:space="preserve"> </w:t>
      </w:r>
      <w:r>
        <w:t>p. 305.</w:t>
      </w:r>
    </w:p>
  </w:footnote>
  <w:footnote w:id="35">
    <w:p w14:paraId="0D1A725A" w14:textId="77777777" w:rsidR="00000000" w:rsidRDefault="00000000">
      <w:pPr>
        <w:pStyle w:val="Testonotaapidipagina"/>
        <w:jc w:val="both"/>
      </w:pPr>
      <w:r>
        <w:rPr>
          <w:rStyle w:val="FootnoteCharacters"/>
        </w:rPr>
        <w:footnoteRef/>
      </w:r>
      <w:r>
        <w:t xml:space="preserve"> Secondo il Bianchi, i  beni della Basilica non potevano essere indemaniati, perchè la Chiesa era </w:t>
      </w:r>
      <w:r>
        <w:rPr>
          <w:i/>
        </w:rPr>
        <w:t>“</w:t>
      </w:r>
      <w:r>
        <w:t xml:space="preserve">stata sempre sotto la protezione dei regnanti cominciando dalla famiglia Medici fino al presente, e verso la quale tutti avevano mostrato un affezione speciale, esser la medesima di dato laicale, perché monumentale, ed altre molte ragioni piucchè sufficienti ad ottenere l’intento, quando si fosse voluto prenderls in considerazione”. </w:t>
      </w:r>
      <w:r>
        <w:rPr>
          <w:i/>
        </w:rPr>
        <w:t>Ibid</w:t>
      </w:r>
      <w:r>
        <w:t>., p. 306.</w:t>
      </w:r>
    </w:p>
  </w:footnote>
  <w:footnote w:id="36">
    <w:p w14:paraId="4AA1959A" w14:textId="77777777" w:rsidR="00000000" w:rsidRDefault="00000000">
      <w:pPr>
        <w:pStyle w:val="Testonotaapidipagina"/>
        <w:jc w:val="both"/>
      </w:pPr>
      <w:r>
        <w:rPr>
          <w:rStyle w:val="FootnoteCharacters"/>
        </w:rPr>
        <w:footnoteRef/>
      </w:r>
      <w:r>
        <w:t xml:space="preserve"> </w:t>
      </w:r>
      <w:r>
        <w:rPr>
          <w:i/>
        </w:rPr>
        <w:t>Ibid</w:t>
      </w:r>
      <w:r>
        <w:t xml:space="preserve">., p. 308. Secondo l’art. 3 della legge del 15 agosto 1867 veniva data dallo Stato un’assegnazione annua corrispondente alla rendita netta della dotazione ordinaria. </w:t>
      </w:r>
    </w:p>
  </w:footnote>
  <w:footnote w:id="37">
    <w:p w14:paraId="33F5038C" w14:textId="77777777" w:rsidR="00000000" w:rsidRDefault="00000000">
      <w:pPr>
        <w:pStyle w:val="Testonotaapidipagina"/>
        <w:jc w:val="both"/>
      </w:pPr>
      <w:r>
        <w:rPr>
          <w:rStyle w:val="FootnoteCharacters"/>
        </w:rPr>
        <w:footnoteRef/>
      </w:r>
      <w:r>
        <w:t xml:space="preserve"> </w:t>
      </w:r>
      <w:r>
        <w:rPr>
          <w:i/>
        </w:rPr>
        <w:t>Ibid</w:t>
      </w:r>
      <w:r>
        <w:t>., pp. 310-317.</w:t>
      </w:r>
    </w:p>
  </w:footnote>
  <w:footnote w:id="38">
    <w:p w14:paraId="5995DA17" w14:textId="77777777" w:rsidR="00000000" w:rsidRDefault="00000000">
      <w:pPr>
        <w:pStyle w:val="Testonotaapidipagina"/>
        <w:jc w:val="both"/>
      </w:pPr>
      <w:r>
        <w:rPr>
          <w:rStyle w:val="FootnoteCharacters"/>
        </w:rPr>
        <w:footnoteRef/>
      </w:r>
      <w:r>
        <w:t xml:space="preserve"> Documenti relativi alla nomina di Giovannini a priore mitrato della Basilica di San Lorenzo sono conservati in ASL, Canonicati - Cappellanie - Clero della Basilica, 1245; l’immissione in possesso fu formalizzata con un contratto il 10 maggio 1874. Si segnala inoltre che nel </w:t>
      </w:r>
      <w:r>
        <w:rPr>
          <w:i/>
          <w:iCs/>
        </w:rPr>
        <w:t>Libro dei partiti</w:t>
      </w:r>
      <w:r>
        <w:t xml:space="preserve"> il fatto fu registrato sinteticamente, senza commenti. A questo proposito vedi ASL, </w:t>
      </w:r>
      <w:r>
        <w:rPr>
          <w:i/>
        </w:rPr>
        <w:t>Libro dei Partiti</w:t>
      </w:r>
      <w:r>
        <w:t>, cit., p. 327.</w:t>
      </w:r>
    </w:p>
  </w:footnote>
  <w:footnote w:id="39">
    <w:p w14:paraId="64DC8217" w14:textId="77777777" w:rsidR="00000000" w:rsidRDefault="00000000">
      <w:pPr>
        <w:pStyle w:val="Testonotaapidipagina"/>
        <w:jc w:val="both"/>
      </w:pPr>
      <w:r>
        <w:rPr>
          <w:rStyle w:val="FootnoteCharacters"/>
        </w:rPr>
        <w:footnoteRef/>
      </w:r>
      <w:r>
        <w:t xml:space="preserve"> Sulle motivazioni e lo sviluppo del dissidio tra il priore, i canonici e i cappellani vedi </w:t>
      </w:r>
      <w:r>
        <w:rPr>
          <w:i/>
        </w:rPr>
        <w:t>ibid.</w:t>
      </w:r>
      <w:r>
        <w:t>, pp. 347-369.</w:t>
      </w:r>
    </w:p>
  </w:footnote>
  <w:footnote w:id="40">
    <w:p w14:paraId="7A778F1C" w14:textId="77777777" w:rsidR="00000000" w:rsidRDefault="00000000">
      <w:pPr>
        <w:pStyle w:val="Testonotaapidipagina"/>
        <w:jc w:val="both"/>
      </w:pPr>
      <w:r>
        <w:rPr>
          <w:rStyle w:val="FootnoteCharacters"/>
        </w:rPr>
        <w:footnoteRef/>
      </w:r>
      <w:r>
        <w:t xml:space="preserve"> A questo proposito vedi </w:t>
      </w:r>
      <w:r>
        <w:rPr>
          <w:i/>
        </w:rPr>
        <w:t xml:space="preserve">Direttori di alcune  delle principali biblioteche fiorentine, </w:t>
      </w:r>
      <w:r>
        <w:t xml:space="preserve">a cura di S. Mori, ora pubblicato in </w:t>
      </w:r>
      <w:hyperlink r:id="rId2" w:history="1">
        <w:r>
          <w:rPr>
            <w:rStyle w:val="Collegamentoipertestuale"/>
          </w:rPr>
          <w:t>http://eprints.unifi.it/archive/00001538/01/10-Mori.pdf</w:t>
        </w:r>
      </w:hyperlink>
    </w:p>
  </w:footnote>
  <w:footnote w:id="41">
    <w:p w14:paraId="57BA0E72" w14:textId="77777777" w:rsidR="00000000" w:rsidRDefault="00000000">
      <w:pPr>
        <w:pStyle w:val="Testonotaapidipagina"/>
        <w:jc w:val="both"/>
      </w:pPr>
      <w:r>
        <w:rPr>
          <w:rStyle w:val="FootnoteCharacters"/>
        </w:rPr>
        <w:footnoteRef/>
      </w:r>
      <w:r>
        <w:t xml:space="preserve"> Nel 1908 quando finalmente, dopo molte vicissitudini, si arrivò alla consegna dei beni, il complesso laurenziano era diviso in tre parti: le Cappelle Medicee con relativi annessi di proprietà dello Stato, in consegna al Ministero della pubblica istruzione e per esso all’Ufficio regionale per la conservazione dei monumenti; i chiostri, relativi ambulacri e annessi, erano in parte a titolo di piena proprietà statale, in parte, a seguito del contratto di enfiteusi del 10 gennaio 1902, erano di pertinenza dello Stato, ma per l’utile dominio. Tutti questi beni erano in consegna al Ministero della pubblica istruzione e per esso all’Ufficio regionale dei monumenti e al direttore della Biblioteca Medicea Laurenziana. Infine la chiesa basilicale di S. Lorenzo, di regio patronato, e l’annessa canonica in consegna al parroco priore della stessa chiesa per il servizio del culto pubblico parrocchiale e come abitazione ecclesiastica.</w:t>
      </w:r>
    </w:p>
  </w:footnote>
  <w:footnote w:id="42">
    <w:p w14:paraId="17C90D33" w14:textId="77777777" w:rsidR="00000000" w:rsidRDefault="00000000">
      <w:pPr>
        <w:jc w:val="both"/>
      </w:pPr>
      <w:r>
        <w:rPr>
          <w:rStyle w:val="FootnoteCharacters"/>
        </w:rPr>
        <w:footnoteRef/>
      </w:r>
      <w:r>
        <w:rPr>
          <w:sz w:val="20"/>
          <w:szCs w:val="20"/>
        </w:rPr>
        <w:t xml:space="preserve"> DL 28 febbraio 1924, n. 354. Vedi inoltre </w:t>
      </w:r>
      <w:r>
        <w:rPr>
          <w:smallCaps/>
          <w:sz w:val="20"/>
          <w:szCs w:val="20"/>
        </w:rPr>
        <w:t>B. Frullini</w:t>
      </w:r>
      <w:r>
        <w:rPr>
          <w:sz w:val="20"/>
          <w:szCs w:val="20"/>
        </w:rPr>
        <w:t xml:space="preserve">, </w:t>
      </w:r>
      <w:r>
        <w:rPr>
          <w:i/>
          <w:iCs/>
          <w:sz w:val="20"/>
          <w:szCs w:val="20"/>
        </w:rPr>
        <w:t>Squadrismo fiorentino</w:t>
      </w:r>
      <w:r>
        <w:rPr>
          <w:sz w:val="20"/>
          <w:szCs w:val="20"/>
        </w:rPr>
        <w:t xml:space="preserve">, Firenze, 1933; </w:t>
      </w:r>
      <w:r>
        <w:rPr>
          <w:smallCaps/>
          <w:sz w:val="20"/>
          <w:szCs w:val="20"/>
        </w:rPr>
        <w:t>R. Cantagall</w:t>
      </w:r>
      <w:r>
        <w:rPr>
          <w:sz w:val="20"/>
          <w:szCs w:val="20"/>
        </w:rPr>
        <w:t xml:space="preserve">i, </w:t>
      </w:r>
      <w:r>
        <w:rPr>
          <w:i/>
          <w:iCs/>
          <w:sz w:val="20"/>
          <w:szCs w:val="20"/>
        </w:rPr>
        <w:t>Storia del fascismo fiorentino 1919/1925</w:t>
      </w:r>
      <w:r>
        <w:rPr>
          <w:sz w:val="20"/>
          <w:szCs w:val="20"/>
        </w:rPr>
        <w:t>, Firenze, 1972.</w:t>
      </w:r>
    </w:p>
  </w:footnote>
  <w:footnote w:id="43">
    <w:p w14:paraId="170C1294" w14:textId="77777777" w:rsidR="00000000" w:rsidRDefault="00000000">
      <w:pPr>
        <w:pStyle w:val="Testonotaapidipagina"/>
        <w:jc w:val="both"/>
      </w:pPr>
      <w:r>
        <w:rPr>
          <w:rStyle w:val="FootnoteCharacters"/>
        </w:rPr>
        <w:footnoteRef/>
      </w:r>
      <w:r>
        <w:t xml:space="preserve"> ASL, </w:t>
      </w:r>
      <w:r>
        <w:rPr>
          <w:i/>
          <w:iCs/>
        </w:rPr>
        <w:t>Verbali delle adunanze 1889-1980</w:t>
      </w:r>
      <w:r>
        <w:t>,  cit., «Adunanza del 29 aprile 1924».</w:t>
      </w:r>
    </w:p>
  </w:footnote>
  <w:footnote w:id="44">
    <w:p w14:paraId="45318252" w14:textId="77777777" w:rsidR="00000000" w:rsidRDefault="00000000">
      <w:pPr>
        <w:pStyle w:val="Testonotaapidipagina"/>
        <w:jc w:val="both"/>
      </w:pPr>
      <w:r>
        <w:rPr>
          <w:rStyle w:val="FootnoteCharacters"/>
        </w:rPr>
        <w:footnoteRef/>
      </w:r>
      <w:r>
        <w:t xml:space="preserve"> Italo Capanni partecipò alla prima guerra mondiale. Fu </w:t>
      </w:r>
      <w:r>
        <w:rPr>
          <w:color w:val="000000"/>
        </w:rPr>
        <w:t xml:space="preserve">segretario nel 1923 e 1924 del Fascio fiorentino che aveva contribuito a fondare, nonchè comandante delle squadre d’azione. Nel 1921, eletto deputato, fondò il  gruppo parlamentare per l’incremento dell’educazione fisica (1921-1925) divenendone segretario; tra il 1922 e 24 ricoprì la carica di Presidente dell’Istituto nazionale di educazione fisica. Cfr, </w:t>
      </w:r>
      <w:r>
        <w:rPr>
          <w:i/>
          <w:iCs/>
          <w:color w:val="000000"/>
        </w:rPr>
        <w:t xml:space="preserve">Chi è? Dizionario degli italiani d’oggi, </w:t>
      </w:r>
      <w:r>
        <w:rPr>
          <w:color w:val="000000"/>
        </w:rPr>
        <w:t>Roma, 1940, p. 179.</w:t>
      </w:r>
    </w:p>
  </w:footnote>
  <w:footnote w:id="45">
    <w:p w14:paraId="1761535E" w14:textId="77777777" w:rsidR="00000000" w:rsidRDefault="00000000">
      <w:pPr>
        <w:jc w:val="both"/>
      </w:pPr>
      <w:r>
        <w:rPr>
          <w:rStyle w:val="FootnoteCharacters"/>
        </w:rPr>
        <w:footnoteRef/>
      </w:r>
      <w:r>
        <w:rPr>
          <w:sz w:val="20"/>
          <w:szCs w:val="20"/>
        </w:rPr>
        <w:t xml:space="preserve"> Paolo Mattei Gentili (1874-1935) fu sottosegretario di Stato al Ministero della giustizia e degli affari di culto (3 luglio 1924-12 settembre 1929). Per ulteriori notizie si consulti il sito del Senato della Repubblica all’indirizzo  http://notes9.senato.it/Web/senregno.NSF/0e10afcd14636769c1257134004b5171/826c94b9917895a14125646f005d45f3?OpenDocument</w:t>
      </w:r>
    </w:p>
  </w:footnote>
  <w:footnote w:id="46">
    <w:p w14:paraId="0BC7ECE2" w14:textId="77777777" w:rsidR="00000000" w:rsidRDefault="00000000">
      <w:pPr>
        <w:pStyle w:val="Testonotaapidipagina"/>
        <w:jc w:val="both"/>
      </w:pPr>
      <w:r>
        <w:rPr>
          <w:rStyle w:val="FootnoteCharacters"/>
        </w:rPr>
        <w:footnoteRef/>
      </w:r>
      <w:r>
        <w:t xml:space="preserve"> Cfr. la legge del 27 maggio 1929, n.810, per l’esecuzione del trattato e del concordato. Su tutta la vicenda vedi ASL, </w:t>
      </w:r>
      <w:r>
        <w:rPr>
          <w:i/>
        </w:rPr>
        <w:t>Sacra Congregazione del Concilio. Riconoscimento civile. Costituzioni nuove</w:t>
      </w:r>
      <w:r>
        <w:t xml:space="preserve">, 1240, fasc. 6; fondamentali i verbali delle assemblee dal 1924 fino al 1934 consultabili in ASL, </w:t>
      </w:r>
      <w:r>
        <w:rPr>
          <w:i/>
          <w:iCs/>
        </w:rPr>
        <w:t>Verbali delle adunanze 1889-1980</w:t>
      </w:r>
      <w:r>
        <w:t>,  cit.</w:t>
      </w:r>
    </w:p>
  </w:footnote>
  <w:footnote w:id="47">
    <w:p w14:paraId="0FD74244" w14:textId="77777777" w:rsidR="00000000" w:rsidRDefault="00000000">
      <w:pPr>
        <w:pStyle w:val="Testonotaapidipagina"/>
        <w:jc w:val="both"/>
      </w:pPr>
      <w:r>
        <w:rPr>
          <w:rStyle w:val="FootnoteCharacters"/>
        </w:rPr>
        <w:footnoteRef/>
      </w:r>
      <w:r>
        <w:t xml:space="preserve"> L’elogio funebre in memoria del priore fu letto dal canonico Giuseppe Salvadori; la pubblicazione relativa, insieme ad una foto di Giovannini è conservata in ASL, </w:t>
      </w:r>
      <w:r>
        <w:rPr>
          <w:i/>
        </w:rPr>
        <w:t xml:space="preserve">Ricordi, </w:t>
      </w:r>
      <w:r>
        <w:t xml:space="preserve">busta 7260 </w:t>
      </w:r>
    </w:p>
  </w:footnote>
  <w:footnote w:id="48">
    <w:p w14:paraId="5015EBF7" w14:textId="77777777" w:rsidR="00000000" w:rsidRDefault="00000000">
      <w:pPr>
        <w:pStyle w:val="Testonotaapidipagina"/>
        <w:jc w:val="both"/>
      </w:pPr>
      <w:r>
        <w:rPr>
          <w:rStyle w:val="FootnoteCharacters"/>
        </w:rPr>
        <w:footnoteRef/>
      </w:r>
      <w:r>
        <w:t xml:space="preserve"> Copia della nomina a Priore della Basilica di san Lorenzo di Monsignor Rosselli è registrata in ASL, </w:t>
      </w:r>
      <w:r>
        <w:rPr>
          <w:i/>
        </w:rPr>
        <w:t>Bullarium laurentianum,</w:t>
      </w:r>
      <w:r>
        <w:t xml:space="preserve"> 3895, pp. 352-354. Per questa occasione fu pubblicato un indirizzo di saluto che si può leggere in ASL, </w:t>
      </w:r>
      <w:r>
        <w:rPr>
          <w:i/>
        </w:rPr>
        <w:t xml:space="preserve">Ricordi, </w:t>
      </w:r>
      <w:r>
        <w:t>busta 7260.</w:t>
      </w:r>
    </w:p>
  </w:footnote>
  <w:footnote w:id="49">
    <w:p w14:paraId="740A4495" w14:textId="77777777" w:rsidR="00000000" w:rsidRDefault="00000000">
      <w:pPr>
        <w:pStyle w:val="Testonotaapidipagina"/>
        <w:jc w:val="both"/>
      </w:pPr>
      <w:r>
        <w:rPr>
          <w:rStyle w:val="FootnoteCharacters"/>
        </w:rPr>
        <w:footnoteRef/>
      </w:r>
      <w:r>
        <w:rPr>
          <w:lang w:val="en-GB"/>
        </w:rPr>
        <w:t xml:space="preserve"> ASL, </w:t>
      </w:r>
      <w:r>
        <w:rPr>
          <w:i/>
          <w:lang w:val="en-GB"/>
        </w:rPr>
        <w:t>Liber Chronicus,</w:t>
      </w:r>
      <w:r>
        <w:rPr>
          <w:lang w:val="en-GB"/>
        </w:rPr>
        <w:t xml:space="preserve"> 7254.</w:t>
      </w:r>
    </w:p>
  </w:footnote>
  <w:footnote w:id="50">
    <w:p w14:paraId="48F610DF" w14:textId="77777777" w:rsidR="00000000" w:rsidRDefault="00000000">
      <w:pPr>
        <w:pStyle w:val="Testonotaapidipagina"/>
        <w:jc w:val="both"/>
      </w:pPr>
      <w:r>
        <w:rPr>
          <w:rStyle w:val="FootnoteCharacters"/>
        </w:rPr>
        <w:footnoteRef/>
      </w:r>
      <w:r>
        <w:t xml:space="preserve"> ASL, </w:t>
      </w:r>
      <w:r>
        <w:rPr>
          <w:i/>
          <w:iCs/>
        </w:rPr>
        <w:t>Verbali delle adunanze 1889-1980</w:t>
      </w:r>
      <w:r>
        <w:t>,  cit., «Adunanza del 10 novembre 1929» e «Adunanza del 2 luglio 1931».</w:t>
      </w:r>
    </w:p>
  </w:footnote>
  <w:footnote w:id="51">
    <w:p w14:paraId="22F227E2" w14:textId="77777777" w:rsidR="00000000" w:rsidRDefault="00000000">
      <w:pPr>
        <w:pStyle w:val="Testonotaapidipagina"/>
        <w:jc w:val="both"/>
      </w:pPr>
      <w:r>
        <w:rPr>
          <w:rStyle w:val="FootnoteCharacters"/>
        </w:rPr>
        <w:footnoteRef/>
      </w:r>
      <w:r>
        <w:t xml:space="preserve"> </w:t>
      </w:r>
      <w:r>
        <w:rPr>
          <w:i/>
        </w:rPr>
        <w:t>Ibid</w:t>
      </w:r>
      <w:r>
        <w:t>., «Adunanza del 5 ottobre 1933».</w:t>
      </w:r>
    </w:p>
  </w:footnote>
  <w:footnote w:id="52">
    <w:p w14:paraId="3EF0E005" w14:textId="77777777" w:rsidR="00000000" w:rsidRDefault="00000000">
      <w:pPr>
        <w:pStyle w:val="Testonotaapidipagina"/>
        <w:jc w:val="both"/>
      </w:pPr>
      <w:r>
        <w:rPr>
          <w:rStyle w:val="FootnoteCharacters"/>
        </w:rPr>
        <w:footnoteRef/>
      </w:r>
      <w:r>
        <w:t xml:space="preserve"> ASL, </w:t>
      </w:r>
      <w:r>
        <w:rPr>
          <w:i/>
        </w:rPr>
        <w:t>Liber Chronicus</w:t>
      </w:r>
      <w:r>
        <w:t xml:space="preserve">, cit., p. 71 e sgg. </w:t>
      </w:r>
    </w:p>
  </w:footnote>
  <w:footnote w:id="53">
    <w:p w14:paraId="39CEEE44" w14:textId="77777777" w:rsidR="00000000" w:rsidRDefault="00000000">
      <w:pPr>
        <w:pStyle w:val="Testonotaapidipagina"/>
        <w:jc w:val="both"/>
      </w:pPr>
      <w:r>
        <w:rPr>
          <w:rStyle w:val="FootnoteCharacters"/>
        </w:rPr>
        <w:footnoteRef/>
      </w:r>
      <w:r>
        <w:t xml:space="preserve"> </w:t>
      </w:r>
      <w:r>
        <w:rPr>
          <w:i/>
        </w:rPr>
        <w:t>Ibid.,</w:t>
      </w:r>
      <w:r>
        <w:t xml:space="preserve"> pp. 26-27</w:t>
      </w:r>
    </w:p>
  </w:footnote>
  <w:footnote w:id="54">
    <w:p w14:paraId="5297875C" w14:textId="77777777" w:rsidR="00000000" w:rsidRDefault="00000000">
      <w:pPr>
        <w:pStyle w:val="Testonotaapidipagina"/>
        <w:jc w:val="both"/>
      </w:pPr>
      <w:r>
        <w:rPr>
          <w:rStyle w:val="FootnoteCharacters"/>
        </w:rPr>
        <w:footnoteRef/>
      </w:r>
      <w:r>
        <w:rPr>
          <w:lang w:val="en-GB"/>
        </w:rPr>
        <w:t xml:space="preserve"> </w:t>
      </w:r>
      <w:r>
        <w:rPr>
          <w:i/>
        </w:rPr>
        <w:t>Ibid.,</w:t>
      </w:r>
      <w:r>
        <w:t xml:space="preserve"> </w:t>
      </w:r>
      <w:r>
        <w:rPr>
          <w:lang w:val="en-GB"/>
        </w:rPr>
        <w:t xml:space="preserve">pp. 14-15. </w:t>
      </w:r>
      <w:r>
        <w:t>Rosselli ebbe modo di constatare che mancavano molti oggetti preziosi : “I numerosi candellieri d’argento, le otto mazze d’argento per i cantori, i grandi vassoi per i pontificali; il famoso bicchiere di cristallo di rocca ornato di perle, di rubini e di altre pietre preziose non sono più…”</w:t>
      </w:r>
      <w:r>
        <w:rPr>
          <w:i/>
        </w:rPr>
        <w:t xml:space="preserve">ibid., </w:t>
      </w:r>
      <w:r>
        <w:t>p. 21.</w:t>
      </w:r>
    </w:p>
  </w:footnote>
  <w:footnote w:id="55">
    <w:p w14:paraId="1A30BA67" w14:textId="77777777" w:rsidR="00000000" w:rsidRDefault="00000000">
      <w:pPr>
        <w:pStyle w:val="Testonotaapidipagina"/>
        <w:jc w:val="both"/>
      </w:pPr>
      <w:r>
        <w:rPr>
          <w:rStyle w:val="FootnoteCharacters"/>
        </w:rPr>
        <w:footnoteRef/>
      </w:r>
      <w:r>
        <w:t xml:space="preserve"> Nominato nell’assemblea del 22 sett. 1928, ebbe il Regio Exequatur il 29 novembre, e le bolle apostoliche il 24 gennaio 1929. Prese possesso solennemente il 3 febbraio 1929.</w:t>
      </w:r>
    </w:p>
  </w:footnote>
  <w:footnote w:id="56">
    <w:p w14:paraId="5A6BBD0F" w14:textId="77777777" w:rsidR="00000000" w:rsidRDefault="00000000">
      <w:pPr>
        <w:pStyle w:val="Testonotaapidipagina"/>
        <w:jc w:val="both"/>
      </w:pPr>
      <w:r>
        <w:rPr>
          <w:rStyle w:val="FootnoteCharacters"/>
        </w:rPr>
        <w:footnoteRef/>
      </w:r>
      <w:r>
        <w:rPr>
          <w:lang w:val="en-GB"/>
        </w:rPr>
        <w:t xml:space="preserve"> ASL, </w:t>
      </w:r>
      <w:r>
        <w:rPr>
          <w:i/>
          <w:lang w:val="en-GB"/>
        </w:rPr>
        <w:t>Liber Chronicus</w:t>
      </w:r>
      <w:r>
        <w:rPr>
          <w:lang w:val="en-GB"/>
        </w:rPr>
        <w:t xml:space="preserve">, cit., p. 78 </w:t>
      </w:r>
    </w:p>
  </w:footnote>
  <w:footnote w:id="57">
    <w:p w14:paraId="7240D8C4" w14:textId="77777777" w:rsidR="00000000" w:rsidRDefault="00000000">
      <w:pPr>
        <w:pStyle w:val="Testonotaapidipagina"/>
        <w:jc w:val="both"/>
      </w:pPr>
      <w:r>
        <w:rPr>
          <w:rStyle w:val="FootnoteCharacters"/>
        </w:rPr>
        <w:footnoteRef/>
      </w:r>
      <w:r>
        <w:t xml:space="preserve"> </w:t>
      </w:r>
      <w:r>
        <w:rPr>
          <w:i/>
        </w:rPr>
        <w:t>Bollettino dell’arcidiocesi di Firenze</w:t>
      </w:r>
      <w:r>
        <w:t>, a. XXI (1929), n°  2, p. 22</w:t>
      </w:r>
    </w:p>
  </w:footnote>
  <w:footnote w:id="58">
    <w:p w14:paraId="3CC8BBC2" w14:textId="77777777" w:rsidR="00000000" w:rsidRDefault="00000000">
      <w:pPr>
        <w:pStyle w:val="Testonotaapidipagina"/>
        <w:jc w:val="both"/>
      </w:pPr>
      <w:r>
        <w:rPr>
          <w:rStyle w:val="FootnoteCharacters"/>
        </w:rPr>
        <w:footnoteRef/>
      </w:r>
      <w:r>
        <w:rPr>
          <w:lang w:val="en-GB"/>
        </w:rPr>
        <w:t xml:space="preserve"> ASL, </w:t>
      </w:r>
      <w:r>
        <w:rPr>
          <w:i/>
          <w:lang w:val="en-GB"/>
        </w:rPr>
        <w:t>Liber Chronicus</w:t>
      </w:r>
      <w:r>
        <w:rPr>
          <w:lang w:val="en-GB"/>
        </w:rPr>
        <w:t>, cit., pp 18-19</w:t>
      </w:r>
    </w:p>
  </w:footnote>
  <w:footnote w:id="59">
    <w:p w14:paraId="7BD7D22C" w14:textId="77777777" w:rsidR="00000000" w:rsidRDefault="00000000">
      <w:pPr>
        <w:pStyle w:val="Testonotaapidipagina"/>
        <w:jc w:val="both"/>
      </w:pPr>
      <w:r>
        <w:rPr>
          <w:rStyle w:val="FootnoteCharacters"/>
        </w:rPr>
        <w:footnoteRef/>
      </w:r>
      <w:r>
        <w:t xml:space="preserve"> Il testo è consultabile ora anche on line all’indirizzo: </w:t>
      </w:r>
    </w:p>
    <w:p w14:paraId="21A6D3E1" w14:textId="77777777" w:rsidR="00000000" w:rsidRDefault="00000000">
      <w:pPr>
        <w:pStyle w:val="Testonotaapidipagina"/>
        <w:jc w:val="both"/>
      </w:pPr>
      <w:r>
        <w:t>http://www.vatican.va/holy_father/pius_xi/encyclicals/documents/hf_p-xi_enc_29061931_non-abbiamo-bisogno_en.html</w:t>
      </w:r>
    </w:p>
  </w:footnote>
  <w:footnote w:id="60">
    <w:p w14:paraId="181B15D0" w14:textId="77777777" w:rsidR="00000000" w:rsidRDefault="00000000">
      <w:pPr>
        <w:pStyle w:val="Titolo2"/>
        <w:spacing w:before="0" w:after="0"/>
        <w:jc w:val="both"/>
      </w:pPr>
      <w:r>
        <w:rPr>
          <w:rStyle w:val="FootnoteCharacters"/>
        </w:rPr>
        <w:footnoteRef/>
      </w:r>
      <w:r>
        <w:rPr>
          <w:b w:val="0"/>
          <w:sz w:val="20"/>
          <w:szCs w:val="20"/>
        </w:rPr>
        <w:t xml:space="preserve"> A questo proposito vedi </w:t>
      </w:r>
      <w:r>
        <w:rPr>
          <w:b w:val="0"/>
          <w:smallCaps/>
          <w:sz w:val="20"/>
          <w:szCs w:val="20"/>
        </w:rPr>
        <w:t xml:space="preserve">O. Stellavato, </w:t>
      </w:r>
      <w:r>
        <w:rPr>
          <w:b w:val="0"/>
          <w:i/>
          <w:sz w:val="20"/>
          <w:szCs w:val="20"/>
        </w:rPr>
        <w:t>Gioventù fascista: l’Opera nazionale balilla</w:t>
      </w:r>
      <w:r>
        <w:rPr>
          <w:b w:val="0"/>
          <w:sz w:val="20"/>
          <w:szCs w:val="20"/>
        </w:rPr>
        <w:t>, tesi di dottorato discussa nel 2004, presso l’Università di Roma Tre consultabile al sito</w:t>
      </w:r>
    </w:p>
    <w:p w14:paraId="62209371" w14:textId="77777777" w:rsidR="00000000" w:rsidRDefault="00000000">
      <w:pPr>
        <w:pStyle w:val="Titolo2"/>
        <w:spacing w:before="0" w:after="0"/>
        <w:jc w:val="both"/>
      </w:pPr>
      <w:hyperlink r:id="rId3" w:history="1">
        <w:r>
          <w:rPr>
            <w:rStyle w:val="Collegamentoipertestuale"/>
            <w:sz w:val="20"/>
            <w:szCs w:val="20"/>
          </w:rPr>
          <w:t>http://dspace-roma3.caspur.it/bitstream/2307/180/1/Gioventu_fascista._LOpera_nazionale_balilla.pdf</w:t>
        </w:r>
      </w:hyperlink>
      <w:r>
        <w:rPr>
          <w:b w:val="0"/>
          <w:sz w:val="20"/>
          <w:szCs w:val="20"/>
        </w:rPr>
        <w:t xml:space="preserve"> ; </w:t>
      </w:r>
      <w:r>
        <w:rPr>
          <w:b w:val="0"/>
          <w:smallCaps/>
          <w:sz w:val="20"/>
          <w:szCs w:val="20"/>
        </w:rPr>
        <w:t>C. Betti</w:t>
      </w:r>
      <w:r>
        <w:rPr>
          <w:b w:val="0"/>
          <w:sz w:val="20"/>
          <w:szCs w:val="20"/>
        </w:rPr>
        <w:t xml:space="preserve">, </w:t>
      </w:r>
      <w:r>
        <w:rPr>
          <w:b w:val="0"/>
          <w:i/>
          <w:iCs/>
          <w:sz w:val="20"/>
          <w:szCs w:val="20"/>
        </w:rPr>
        <w:t>L’opera nazionale balilla e l’educazione fascista</w:t>
      </w:r>
      <w:r>
        <w:rPr>
          <w:b w:val="0"/>
          <w:sz w:val="20"/>
          <w:szCs w:val="20"/>
        </w:rPr>
        <w:t xml:space="preserve">, Firenze, 1984; </w:t>
      </w:r>
      <w:r>
        <w:rPr>
          <w:b w:val="0"/>
          <w:i/>
          <w:iCs/>
          <w:sz w:val="20"/>
          <w:szCs w:val="20"/>
        </w:rPr>
        <w:t>La organizzazione del consenso nel regime fascista: l’ Opera nazionale balilla ( O. N. B.) come istituzione di controllo sociale</w:t>
      </w:r>
      <w:r>
        <w:rPr>
          <w:b w:val="0"/>
          <w:sz w:val="20"/>
          <w:szCs w:val="20"/>
        </w:rPr>
        <w:t>, Perugia Istituto di Etnologia e antropologia culturale della Università degli Studi, 1983.</w:t>
      </w:r>
    </w:p>
  </w:footnote>
  <w:footnote w:id="61">
    <w:p w14:paraId="16C54FD0" w14:textId="77777777" w:rsidR="00000000" w:rsidRDefault="00000000">
      <w:pPr>
        <w:jc w:val="both"/>
      </w:pPr>
      <w:r>
        <w:rPr>
          <w:rStyle w:val="FootnoteCharacters"/>
        </w:rPr>
        <w:footnoteRef/>
      </w:r>
      <w:r>
        <w:rPr>
          <w:smallCaps/>
          <w:sz w:val="20"/>
          <w:szCs w:val="20"/>
        </w:rPr>
        <w:t xml:space="preserve">O.Stellavato, </w:t>
      </w:r>
      <w:r>
        <w:rPr>
          <w:bCs/>
          <w:i/>
          <w:sz w:val="20"/>
          <w:szCs w:val="20"/>
        </w:rPr>
        <w:t xml:space="preserve">Gioventù </w:t>
      </w:r>
      <w:r>
        <w:rPr>
          <w:bCs/>
          <w:iCs/>
          <w:sz w:val="20"/>
          <w:szCs w:val="20"/>
        </w:rPr>
        <w:t>fascista, cit., pag. IV;</w:t>
      </w:r>
      <w:r>
        <w:rPr>
          <w:smallCaps/>
          <w:sz w:val="20"/>
          <w:szCs w:val="20"/>
        </w:rPr>
        <w:t xml:space="preserve"> G. Dalla Torre</w:t>
      </w:r>
      <w:r>
        <w:rPr>
          <w:sz w:val="20"/>
          <w:szCs w:val="20"/>
        </w:rPr>
        <w:t xml:space="preserve">, </w:t>
      </w:r>
      <w:r>
        <w:rPr>
          <w:i/>
          <w:iCs/>
          <w:sz w:val="20"/>
          <w:szCs w:val="20"/>
        </w:rPr>
        <w:t>Azione cattolica e fascismo. Il conflitto del 1931</w:t>
      </w:r>
      <w:r>
        <w:rPr>
          <w:sz w:val="20"/>
          <w:szCs w:val="20"/>
        </w:rPr>
        <w:t>, Roma, 1964.</w:t>
      </w:r>
    </w:p>
  </w:footnote>
  <w:footnote w:id="62">
    <w:p w14:paraId="2A939869" w14:textId="77777777" w:rsidR="00000000" w:rsidRDefault="00000000">
      <w:pPr>
        <w:pStyle w:val="Testonotaapidipagina"/>
        <w:jc w:val="both"/>
      </w:pPr>
      <w:r>
        <w:rPr>
          <w:rStyle w:val="FootnoteCharacters"/>
        </w:rPr>
        <w:footnoteRef/>
      </w:r>
      <w:r>
        <w:t xml:space="preserve"> E. Giannarelli, “I priori di san Lorenzo”, in </w:t>
      </w:r>
      <w:r>
        <w:rPr>
          <w:i/>
        </w:rPr>
        <w:t xml:space="preserve">Caritas Pastoralis. Strenna spirituale in onore di mons. Angiolo Livi, </w:t>
      </w:r>
      <w:r>
        <w:t>Firenze, s.d. (2006), in particolare pp. 139-142.</w:t>
      </w:r>
    </w:p>
  </w:footnote>
  <w:footnote w:id="63">
    <w:p w14:paraId="7B4AB04F" w14:textId="77777777" w:rsidR="00000000" w:rsidRDefault="00000000">
      <w:pPr>
        <w:pStyle w:val="Testonotaapidipagina"/>
        <w:jc w:val="both"/>
      </w:pPr>
      <w:r>
        <w:rPr>
          <w:rStyle w:val="FootnoteCharacters"/>
        </w:rPr>
        <w:footnoteRef/>
      </w:r>
      <w:r>
        <w:rPr>
          <w:lang w:val="en-GB"/>
        </w:rPr>
        <w:t xml:space="preserve"> ASL, </w:t>
      </w:r>
      <w:r>
        <w:rPr>
          <w:i/>
          <w:lang w:val="en-GB"/>
        </w:rPr>
        <w:t>Liber Chronicus</w:t>
      </w:r>
      <w:r>
        <w:rPr>
          <w:lang w:val="en-GB"/>
        </w:rPr>
        <w:t>, cit., p. 38.</w:t>
      </w:r>
    </w:p>
  </w:footnote>
  <w:footnote w:id="64">
    <w:p w14:paraId="7B5AC16E" w14:textId="77777777" w:rsidR="00000000" w:rsidRDefault="00000000">
      <w:pPr>
        <w:pStyle w:val="Testonotaapidipagina"/>
      </w:pPr>
      <w:r>
        <w:rPr>
          <w:rStyle w:val="FootnoteCharacters"/>
        </w:rPr>
        <w:footnoteRef/>
      </w:r>
      <w:r>
        <w:t xml:space="preserve"> Nel 1937 risultano essere attive oltre alle associazioni citate, la Pia unione delle figlie di Maria, l’Opera delle Marie, la Compagnia del SS. Sacramento e dell’Immacolata Concezione, la Compagnia delle Sacre Stimate di S. Francesco, queste ultime con sede nei sotterranei della Basilica. Nella parrocchia vi erano poi la Compagnia di S. Sebastiano nei sotterranei della chiesa di S. Giovannino degli Scolopi, la Congregazione del S. Cuore, La congregazione del mese mariano, la Compagnia di S. Anna e la Congrega di S. Francecso di Paola. Cfr. ASL, 1242, fasc. 5, </w:t>
      </w:r>
      <w:r>
        <w:rPr>
          <w:i/>
        </w:rPr>
        <w:t>Questionario per la secondavisita pastorale</w:t>
      </w:r>
      <w:r>
        <w:t>, cc.2-3.</w:t>
      </w:r>
    </w:p>
  </w:footnote>
  <w:footnote w:id="65">
    <w:p w14:paraId="63BB8707" w14:textId="77777777" w:rsidR="00000000" w:rsidRDefault="00000000">
      <w:pPr>
        <w:pStyle w:val="Testonotaapidipagina"/>
        <w:jc w:val="both"/>
      </w:pPr>
      <w:r>
        <w:rPr>
          <w:rStyle w:val="FootnoteCharacters"/>
        </w:rPr>
        <w:footnoteRef/>
      </w:r>
      <w:r>
        <w:t xml:space="preserve"> </w:t>
      </w:r>
      <w:r>
        <w:rPr>
          <w:i/>
        </w:rPr>
        <w:t>Relazione sulla convenienza e necessità di trasformare la Venerabile Confraternita delle S. Stimate in Società di mutuo soccorso, restituendole cos’ il carattere che aveva in origine</w:t>
      </w:r>
      <w:r>
        <w:t xml:space="preserve"> : “La Compagnia delle Stimate, ponendosi in questa via di progresso, sente anche il bisogno di ritornare nuovamente alla mutua assistenza dei suoi affiliati afflitti da malattia e da gravi infortunii, riprendendo il carattere che essa ebbe all’inizio di sua fondazione fino a tutto il diciassettesimo secolo senza nulla tralasciare dei suoi doveri di religione…” in ASL, Archivio delle Sacre Stimate di San Francesco, fasc. 7, c. 4.</w:t>
      </w:r>
    </w:p>
  </w:footnote>
  <w:footnote w:id="66">
    <w:p w14:paraId="2C38114E" w14:textId="77777777" w:rsidR="00000000" w:rsidRDefault="00000000">
      <w:pPr>
        <w:pStyle w:val="Testonotaapidipagina"/>
        <w:jc w:val="both"/>
      </w:pPr>
      <w:r>
        <w:rPr>
          <w:rStyle w:val="FootnoteCharacters"/>
        </w:rPr>
        <w:footnoteRef/>
      </w:r>
      <w:r>
        <w:t xml:space="preserve">Su Alfonso Maria Mistrangelo vedi: </w:t>
      </w:r>
      <w:hyperlink r:id="rId4" w:history="1">
        <w:r>
          <w:rPr>
            <w:rStyle w:val="Collegamentoipertestuale"/>
          </w:rPr>
          <w:t>http://www.catholic-hierarchy.org/bishop/bmist.html</w:t>
        </w:r>
      </w:hyperlink>
      <w:r>
        <w:t xml:space="preserve"> e </w:t>
      </w:r>
      <w:r>
        <w:rPr>
          <w:i/>
        </w:rPr>
        <w:t xml:space="preserve">Bollettino dell’arcidiocesi, </w:t>
      </w:r>
      <w:r>
        <w:t>cit., novembre-dicembre 1915, pp. 161-216.</w:t>
      </w:r>
    </w:p>
  </w:footnote>
  <w:footnote w:id="67">
    <w:p w14:paraId="7DFC972D" w14:textId="77777777" w:rsidR="00000000" w:rsidRDefault="00000000">
      <w:pPr>
        <w:pStyle w:val="Testonotaapidipagina"/>
        <w:jc w:val="both"/>
      </w:pPr>
      <w:r>
        <w:rPr>
          <w:rStyle w:val="FootnoteCharacters"/>
        </w:rPr>
        <w:footnoteRef/>
      </w:r>
      <w:r>
        <w:t xml:space="preserve"> “Soggiungendo che la mutua assistenza, la carità è la più efficace preghiera e ricordò che nelle memorie della nostra compagnia vi è pur quella di che dovendosi assistere i confratelli ammalati e mancando i mezzi si dovessero vendere anche gli oggetti di valore appartenente alla compagnia per supplire al bisogno.” Tale progetto si inseriva perfettamente nella visione cattolica dell’arcivescovo vicino alla corrente sociale cristiana che poi, nel 1919, darà vita al Partito Popolare Italiano</w:t>
      </w:r>
    </w:p>
  </w:footnote>
  <w:footnote w:id="68">
    <w:p w14:paraId="5E40A23D" w14:textId="77777777" w:rsidR="00000000" w:rsidRDefault="00000000">
      <w:pPr>
        <w:pStyle w:val="Testonotaapidipagina"/>
        <w:jc w:val="both"/>
      </w:pPr>
      <w:r>
        <w:rPr>
          <w:rStyle w:val="FootnoteCharacters"/>
        </w:rPr>
        <w:footnoteRef/>
      </w:r>
      <w:r>
        <w:t xml:space="preserve"> A questo proposito vedi </w:t>
      </w:r>
      <w:r>
        <w:rPr>
          <w:i/>
        </w:rPr>
        <w:t xml:space="preserve">Synodus Diocesana Fiorentina abita in EcclesiaMetropolitana diebus XXI, XXII, XXIII novembris MCMV abill.mo et rev. mo d. Alphonso M. Mistrangelo ord. Schol. Piar. Archiepiscopo Fiorentino, </w:t>
      </w:r>
      <w:r>
        <w:t>Firenze, Raffaello Ricci tipografo episcopale, 1906.</w:t>
      </w:r>
    </w:p>
  </w:footnote>
  <w:footnote w:id="69">
    <w:p w14:paraId="709CF8F7" w14:textId="77777777" w:rsidR="00000000" w:rsidRDefault="00000000">
      <w:pPr>
        <w:pStyle w:val="Testonotaapidipagina"/>
        <w:jc w:val="both"/>
      </w:pPr>
      <w:r>
        <w:rPr>
          <w:rStyle w:val="FootnoteCharacters"/>
        </w:rPr>
        <w:footnoteRef/>
      </w:r>
      <w:r>
        <w:t xml:space="preserve"> Il nuovo Statuto fui firmato da Elia Dalla Costa nel 1943. ASL, </w:t>
      </w:r>
      <w:r>
        <w:rPr>
          <w:i/>
          <w:iCs/>
        </w:rPr>
        <w:t>Compagnia delle S. Stimate di S. Francesco</w:t>
      </w:r>
      <w:r>
        <w:t xml:space="preserve">, </w:t>
      </w:r>
      <w:r>
        <w:rPr>
          <w:rFonts w:ascii="Symbol" w:eastAsia="Symbol" w:hAnsi="Symbol" w:cs="Symbol"/>
        </w:rPr>
        <w:t></w:t>
      </w:r>
      <w:r>
        <w:t>Statuti, 7796; cfr anche ASL, 1242.</w:t>
      </w:r>
    </w:p>
  </w:footnote>
  <w:footnote w:id="70">
    <w:p w14:paraId="510810C5" w14:textId="77777777" w:rsidR="00000000" w:rsidRDefault="00000000">
      <w:pPr>
        <w:pStyle w:val="Testonotaapidipagina"/>
        <w:jc w:val="both"/>
      </w:pPr>
      <w:r>
        <w:rPr>
          <w:rStyle w:val="FootnoteCharacters"/>
        </w:rPr>
        <w:footnoteRef/>
      </w:r>
      <w:r>
        <w:t xml:space="preserve"> Basterà qui ricordare che nel 1784 la compagnia si salvò dalle soppressioni grazie all’aiuto offerto alla parrocchia per  il trasporto delle salme. In questo modo si faceva “cosa officiosa al signor priore”  per  “l’essere la nostra compagnia incorporata in detta chiesa e collegiata e per esser passata da tanti anni una reciproca convenienza”</w:t>
      </w:r>
      <w:r>
        <w:rPr>
          <w:i/>
        </w:rPr>
        <w:t xml:space="preserve"> </w:t>
      </w:r>
      <w:r>
        <w:t xml:space="preserve">ASL, </w:t>
      </w:r>
      <w:r>
        <w:rPr>
          <w:i/>
        </w:rPr>
        <w:t>Archivio delle Stimate, «</w:t>
      </w:r>
      <w:r>
        <w:t xml:space="preserve">Partiti e tratte, 1773-1852», 6101, c. 27v-28r . </w:t>
      </w:r>
    </w:p>
  </w:footnote>
  <w:footnote w:id="71">
    <w:p w14:paraId="3D7824C4" w14:textId="77777777" w:rsidR="00000000" w:rsidRDefault="00000000">
      <w:pPr>
        <w:pStyle w:val="Testonotaapidipagina"/>
        <w:jc w:val="both"/>
      </w:pPr>
      <w:r>
        <w:rPr>
          <w:rStyle w:val="FootnoteCharacters"/>
        </w:rPr>
        <w:footnoteRef/>
      </w:r>
      <w:r>
        <w:t xml:space="preserve"> ASL, </w:t>
      </w:r>
      <w:r>
        <w:rPr>
          <w:i/>
        </w:rPr>
        <w:t>Liber Chronicus</w:t>
      </w:r>
      <w:r>
        <w:t>, cit</w:t>
      </w:r>
      <w:r>
        <w:rPr>
          <w:i/>
        </w:rPr>
        <w:t xml:space="preserve">., </w:t>
      </w:r>
      <w:r>
        <w:t xml:space="preserve">pp. 35-36 e </w:t>
      </w:r>
      <w:r>
        <w:rPr>
          <w:i/>
        </w:rPr>
        <w:t>Voce paterna</w:t>
      </w:r>
      <w:r>
        <w:t xml:space="preserve">, IX (1937), n.1, </w:t>
      </w:r>
    </w:p>
  </w:footnote>
  <w:footnote w:id="72">
    <w:p w14:paraId="45274CD1" w14:textId="77777777" w:rsidR="00000000" w:rsidRDefault="00000000">
      <w:pPr>
        <w:jc w:val="both"/>
      </w:pPr>
      <w:r>
        <w:rPr>
          <w:rStyle w:val="FootnoteCharacters"/>
        </w:rPr>
        <w:footnoteRef/>
      </w:r>
      <w:r>
        <w:t xml:space="preserve"> </w:t>
      </w:r>
      <w:r>
        <w:rPr>
          <w:i/>
          <w:sz w:val="20"/>
          <w:szCs w:val="20"/>
        </w:rPr>
        <w:t>Bollettino</w:t>
      </w:r>
      <w:r>
        <w:rPr>
          <w:sz w:val="20"/>
          <w:szCs w:val="20"/>
        </w:rPr>
        <w:t xml:space="preserve">, cit.,  XXXV, sett. ott. 1944 n° 9-10, pp. 218. In seguito parte di questo materiale è stato pubblicato dalla </w:t>
      </w:r>
      <w:r>
        <w:rPr>
          <w:bCs/>
          <w:sz w:val="20"/>
          <w:szCs w:val="20"/>
        </w:rPr>
        <w:t>Conferenza Episcopale Toscana</w:t>
      </w:r>
      <w:r>
        <w:rPr>
          <w:sz w:val="20"/>
          <w:szCs w:val="20"/>
        </w:rPr>
        <w:t xml:space="preserve"> (CET), </w:t>
      </w:r>
      <w:r>
        <w:rPr>
          <w:i/>
          <w:iCs/>
          <w:sz w:val="20"/>
          <w:szCs w:val="20"/>
        </w:rPr>
        <w:t>Chiese toscane. Cronache di guerra 1940-1945</w:t>
      </w:r>
      <w:r>
        <w:rPr>
          <w:sz w:val="20"/>
          <w:szCs w:val="20"/>
        </w:rPr>
        <w:t xml:space="preserve">, a cura di </w:t>
      </w:r>
      <w:r>
        <w:rPr>
          <w:smallCaps/>
          <w:sz w:val="20"/>
          <w:szCs w:val="20"/>
        </w:rPr>
        <w:t>G. Villani</w:t>
      </w:r>
      <w:r>
        <w:rPr>
          <w:sz w:val="20"/>
          <w:szCs w:val="20"/>
        </w:rPr>
        <w:t xml:space="preserve"> e </w:t>
      </w:r>
      <w:r>
        <w:rPr>
          <w:smallCaps/>
          <w:sz w:val="20"/>
          <w:szCs w:val="20"/>
        </w:rPr>
        <w:t xml:space="preserve">F Poli , </w:t>
      </w:r>
      <w:r>
        <w:rPr>
          <w:sz w:val="20"/>
          <w:szCs w:val="20"/>
        </w:rPr>
        <w:t>Firenze, 1995</w:t>
      </w:r>
    </w:p>
  </w:footnote>
  <w:footnote w:id="73">
    <w:p w14:paraId="0FBAD10F" w14:textId="77777777" w:rsidR="00000000" w:rsidRDefault="00000000">
      <w:pPr>
        <w:pStyle w:val="Testonotaapidipagina"/>
        <w:jc w:val="both"/>
      </w:pPr>
      <w:r>
        <w:rPr>
          <w:rStyle w:val="FootnoteCharacters"/>
        </w:rPr>
        <w:footnoteRef/>
      </w:r>
      <w:r>
        <w:t xml:space="preserve"> </w:t>
      </w:r>
      <w:r>
        <w:rPr>
          <w:bCs/>
        </w:rPr>
        <w:t xml:space="preserve">A proposito dell’azione svolta da Elia dalla Costa sulle autorità tedesche in difesa di Firenze attraverso Gerhard Wolf utile il testo di </w:t>
      </w:r>
      <w:r>
        <w:rPr>
          <w:bCs/>
          <w:smallCaps/>
        </w:rPr>
        <w:t>D. Tutaev</w:t>
      </w:r>
      <w:r>
        <w:rPr>
          <w:bCs/>
        </w:rPr>
        <w:t xml:space="preserve"> , </w:t>
      </w:r>
      <w:r>
        <w:rPr>
          <w:bCs/>
          <w:i/>
          <w:iCs/>
        </w:rPr>
        <w:t>Il console di Firenze</w:t>
      </w:r>
      <w:r>
        <w:rPr>
          <w:bCs/>
        </w:rPr>
        <w:t>, sd. (1972).</w:t>
      </w:r>
    </w:p>
  </w:footnote>
  <w:footnote w:id="74">
    <w:p w14:paraId="0CF2EBD8" w14:textId="77777777" w:rsidR="00000000" w:rsidRDefault="00000000">
      <w:pPr>
        <w:jc w:val="both"/>
      </w:pPr>
      <w:r>
        <w:rPr>
          <w:rStyle w:val="FootnoteCharacters"/>
        </w:rPr>
        <w:footnoteRef/>
      </w:r>
      <w:r>
        <w:rPr>
          <w:sz w:val="20"/>
          <w:szCs w:val="20"/>
        </w:rPr>
        <w:t xml:space="preserve"> Per il soccorso ai cittadini ebrei indispensabile la ricerca di </w:t>
      </w:r>
      <w:r>
        <w:rPr>
          <w:smallCaps/>
          <w:sz w:val="20"/>
          <w:szCs w:val="20"/>
        </w:rPr>
        <w:t>F. Cavarocchi</w:t>
      </w:r>
      <w:r>
        <w:rPr>
          <w:sz w:val="20"/>
          <w:szCs w:val="20"/>
        </w:rPr>
        <w:t xml:space="preserve">, </w:t>
      </w:r>
      <w:r>
        <w:rPr>
          <w:i/>
          <w:iCs/>
          <w:sz w:val="20"/>
          <w:szCs w:val="20"/>
        </w:rPr>
        <w:t>L’Organizzazione degli aiuti. La rete ecclesiastica e la DELASAM</w:t>
      </w:r>
      <w:r>
        <w:rPr>
          <w:sz w:val="20"/>
          <w:szCs w:val="20"/>
        </w:rPr>
        <w:t xml:space="preserve">, in Enzo Collotti (a cura di) </w:t>
      </w:r>
      <w:r>
        <w:rPr>
          <w:i/>
          <w:iCs/>
          <w:sz w:val="20"/>
          <w:szCs w:val="20"/>
        </w:rPr>
        <w:t>Ebrei in Toscana tra occupazione tedesca e RSI</w:t>
      </w:r>
      <w:r>
        <w:rPr>
          <w:sz w:val="20"/>
          <w:szCs w:val="20"/>
        </w:rPr>
        <w:t>, Roma, 2007</w:t>
      </w:r>
      <w:r>
        <w:rPr>
          <w:b/>
          <w:sz w:val="20"/>
          <w:szCs w:val="20"/>
        </w:rPr>
        <w:t xml:space="preserve">, </w:t>
      </w:r>
      <w:r>
        <w:rPr>
          <w:sz w:val="20"/>
          <w:szCs w:val="20"/>
        </w:rPr>
        <w:t xml:space="preserve">vol I, pp 329-393 a cui rimando anche per l’ampia bibliografia; sulla figura di don Casini si veda:  </w:t>
      </w:r>
      <w:r>
        <w:rPr>
          <w:smallCaps/>
          <w:sz w:val="20"/>
          <w:szCs w:val="20"/>
        </w:rPr>
        <w:t>L. Casini</w:t>
      </w:r>
      <w:r>
        <w:rPr>
          <w:sz w:val="20"/>
          <w:szCs w:val="20"/>
        </w:rPr>
        <w:t xml:space="preserve">, </w:t>
      </w:r>
      <w:r>
        <w:rPr>
          <w:i/>
          <w:iCs/>
          <w:sz w:val="20"/>
          <w:szCs w:val="20"/>
        </w:rPr>
        <w:t>Ricordi di un vecchio prete</w:t>
      </w:r>
      <w:r>
        <w:rPr>
          <w:sz w:val="20"/>
          <w:szCs w:val="20"/>
        </w:rPr>
        <w:t xml:space="preserve">, Firenze, 1986, insieme a </w:t>
      </w:r>
      <w:r>
        <w:rPr>
          <w:smallCaps/>
          <w:sz w:val="20"/>
          <w:szCs w:val="20"/>
        </w:rPr>
        <w:t>V. Casini</w:t>
      </w:r>
      <w:r>
        <w:rPr>
          <w:sz w:val="20"/>
          <w:szCs w:val="20"/>
        </w:rPr>
        <w:t xml:space="preserve">, </w:t>
      </w:r>
      <w:r>
        <w:rPr>
          <w:i/>
          <w:iCs/>
          <w:sz w:val="20"/>
          <w:szCs w:val="20"/>
        </w:rPr>
        <w:t>La speranza oltre l’angoscia. Don Leto, un sacerdote coraggioso</w:t>
      </w:r>
      <w:r>
        <w:rPr>
          <w:sz w:val="20"/>
          <w:szCs w:val="20"/>
        </w:rPr>
        <w:t>, Firenze, 2007</w:t>
      </w:r>
    </w:p>
  </w:footnote>
  <w:footnote w:id="75">
    <w:p w14:paraId="5E4E6435" w14:textId="77777777" w:rsidR="00000000" w:rsidRDefault="00000000">
      <w:pPr>
        <w:pStyle w:val="Testonotaapidipagina"/>
        <w:jc w:val="both"/>
      </w:pPr>
      <w:r>
        <w:rPr>
          <w:rStyle w:val="FootnoteCharacters"/>
        </w:rPr>
        <w:footnoteRef/>
      </w:r>
      <w:r>
        <w:t xml:space="preserve"> </w:t>
      </w:r>
      <w:r>
        <w:rPr>
          <w:i/>
        </w:rPr>
        <w:t>Bollettino</w:t>
      </w:r>
      <w:r>
        <w:t xml:space="preserve">, circolare n. 2 sett. -ott. 1944 </w:t>
      </w:r>
    </w:p>
  </w:footnote>
  <w:footnote w:id="76">
    <w:p w14:paraId="00671B93" w14:textId="77777777" w:rsidR="00000000" w:rsidRDefault="00000000">
      <w:pPr>
        <w:pStyle w:val="Testonotaapidipagina"/>
        <w:jc w:val="both"/>
      </w:pPr>
      <w:r>
        <w:rPr>
          <w:rStyle w:val="FootnoteCharacters"/>
        </w:rPr>
        <w:footnoteRef/>
      </w:r>
      <w:r>
        <w:rPr>
          <w:i/>
        </w:rPr>
        <w:t xml:space="preserve">Voce paterna, </w:t>
      </w:r>
      <w:r>
        <w:t>cit., circolare n. 1, anno  XVII (agosto 1944), ma in realtà 1945.</w:t>
      </w:r>
    </w:p>
  </w:footnote>
  <w:footnote w:id="77">
    <w:p w14:paraId="0E999379" w14:textId="77777777" w:rsidR="00000000" w:rsidRDefault="00000000">
      <w:pPr>
        <w:pStyle w:val="Testonotaapidipagina"/>
        <w:jc w:val="both"/>
      </w:pPr>
      <w:r>
        <w:rPr>
          <w:rStyle w:val="FootnoteCharacters"/>
        </w:rPr>
        <w:footnoteRef/>
      </w:r>
      <w:r>
        <w:rPr>
          <w:lang w:val="en-GB"/>
        </w:rPr>
        <w:t xml:space="preserve"> ASL, </w:t>
      </w:r>
      <w:r>
        <w:rPr>
          <w:i/>
          <w:lang w:val="en-GB"/>
        </w:rPr>
        <w:t>Liber Chronicus</w:t>
      </w:r>
      <w:r>
        <w:rPr>
          <w:lang w:val="en-GB"/>
        </w:rPr>
        <w:t>, cit., pp. 65-66.</w:t>
      </w:r>
    </w:p>
  </w:footnote>
  <w:footnote w:id="78">
    <w:p w14:paraId="34BB3DDC" w14:textId="77777777" w:rsidR="00000000" w:rsidRDefault="00000000">
      <w:pPr>
        <w:pStyle w:val="Testonotaapidipagina"/>
        <w:jc w:val="both"/>
      </w:pPr>
      <w:r>
        <w:rPr>
          <w:rStyle w:val="FootnoteCharacters"/>
        </w:rPr>
        <w:footnoteRef/>
      </w:r>
      <w:r>
        <w:t xml:space="preserve"> </w:t>
      </w:r>
      <w:r>
        <w:rPr>
          <w:i/>
        </w:rPr>
        <w:t>Ibid.,</w:t>
      </w:r>
      <w:r>
        <w:t xml:space="preserve"> pp. 68-69</w:t>
      </w:r>
    </w:p>
  </w:footnote>
  <w:footnote w:id="79">
    <w:p w14:paraId="0E40EBE9" w14:textId="77777777" w:rsidR="00000000" w:rsidRDefault="00000000">
      <w:pPr>
        <w:pStyle w:val="Testonotaapidipagina"/>
        <w:jc w:val="both"/>
      </w:pPr>
      <w:r>
        <w:rPr>
          <w:rStyle w:val="FootnoteCharacters"/>
        </w:rPr>
        <w:footnoteRef/>
      </w:r>
      <w:r>
        <w:t xml:space="preserve"> </w:t>
      </w:r>
      <w:r>
        <w:rPr>
          <w:i/>
        </w:rPr>
        <w:t>Ibid.</w:t>
      </w:r>
      <w:r>
        <w:t>, p. 75</w:t>
      </w:r>
    </w:p>
  </w:footnote>
  <w:footnote w:id="80">
    <w:p w14:paraId="6BA6FE2B" w14:textId="77777777" w:rsidR="00000000" w:rsidRDefault="00000000">
      <w:pPr>
        <w:pStyle w:val="Testonotaapidipagina"/>
        <w:jc w:val="both"/>
      </w:pPr>
      <w:r>
        <w:rPr>
          <w:rStyle w:val="FootnoteCharacters"/>
        </w:rPr>
        <w:footnoteRef/>
      </w:r>
      <w:r>
        <w:t xml:space="preserve"> Alcune foto, relative ai danni della guerra subiti dal patrimonio storico artistico e alla ricollocazione degli scheletri dei Medici sono pubblicate in </w:t>
      </w:r>
      <w:r>
        <w:rPr>
          <w:smallCaps/>
        </w:rPr>
        <w:t>P. de Anna L. del Duca</w:t>
      </w:r>
      <w:r>
        <w:t xml:space="preserve">, </w:t>
      </w:r>
      <w:r>
        <w:rPr>
          <w:i/>
        </w:rPr>
        <w:t>Le guerre del paradiso. I restauri di Bruno Bearzi 1943-1966</w:t>
      </w:r>
      <w:r>
        <w:t xml:space="preserve">, Firenze, 2009, pp. 134-137. </w:t>
      </w:r>
    </w:p>
  </w:footnote>
  <w:footnote w:id="81">
    <w:p w14:paraId="00719E21" w14:textId="77777777" w:rsidR="00000000" w:rsidRDefault="00000000">
      <w:pPr>
        <w:pStyle w:val="Testonotaapidipagina"/>
      </w:pPr>
      <w:r>
        <w:rPr>
          <w:rStyle w:val="FootnoteCharacters"/>
        </w:rPr>
        <w:footnoteRef/>
      </w:r>
      <w:r>
        <w:t xml:space="preserve"> Il tabernacolo di Desiderio da Settignano fu ricollocato tra aprile e maggio 1947, vedi c. 9. allegata al </w:t>
      </w:r>
      <w:r>
        <w:rPr>
          <w:i/>
        </w:rPr>
        <w:t>Liber chronicus</w:t>
      </w:r>
      <w:r>
        <w:t>, cit.</w:t>
      </w:r>
    </w:p>
  </w:footnote>
  <w:footnote w:id="82">
    <w:p w14:paraId="21CBF7AF" w14:textId="77777777" w:rsidR="00000000" w:rsidRDefault="00000000">
      <w:pPr>
        <w:pStyle w:val="Testonotaapidipagina"/>
        <w:jc w:val="both"/>
      </w:pPr>
      <w:r>
        <w:rPr>
          <w:rStyle w:val="FootnoteCharacters"/>
        </w:rPr>
        <w:footnoteRef/>
      </w:r>
      <w:r>
        <w:rPr>
          <w:color w:val="040404"/>
        </w:rPr>
        <w:t xml:space="preserve"> La canzone </w:t>
      </w:r>
      <w:r>
        <w:rPr>
          <w:i/>
          <w:color w:val="040404"/>
        </w:rPr>
        <w:t>Simme e'Napule, paisà',</w:t>
      </w:r>
      <w:r>
        <w:rPr>
          <w:color w:val="040404"/>
        </w:rPr>
        <w:t xml:space="preserve"> scritta da Peppino Fiorelli e musicata sul ritmo della tarantella da Nicola Valente, suscitò fin dall’inizio polemiche e giudizi opposti: da una parte fu salutata come segno di rinascita della speranza, dall’altra fu tacciata di qualunquismo, ma il testo, come ha ben evidenziato Pietro Gargano nel suo articolo apparso sul quotidiano </w:t>
      </w:r>
      <w:r>
        <w:rPr>
          <w:i/>
          <w:color w:val="040404"/>
        </w:rPr>
        <w:t>Il mattino</w:t>
      </w:r>
      <w:r>
        <w:rPr>
          <w:color w:val="040404"/>
        </w:rPr>
        <w:t xml:space="preserve"> dell’11 febbraio 2007, non nasconde le tragedie collettive della guerra e le ferite della città. </w:t>
      </w:r>
    </w:p>
    <w:p w14:paraId="28E9C80C" w14:textId="77777777" w:rsidR="00000000" w:rsidRDefault="00000000">
      <w:pPr>
        <w:pStyle w:val="Testonotaapidipagina"/>
        <w:jc w:val="both"/>
        <w:rPr>
          <w:color w:val="04040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A8751B" w14:textId="77777777" w:rsidR="00410E4D" w:rsidRDefault="00410E4D">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259469" w14:textId="77777777" w:rsidR="00410E4D" w:rsidRDefault="00410E4D">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2E192D" w14:textId="77777777" w:rsidR="00410E4D" w:rsidRDefault="00410E4D">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65598856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0CE"/>
    <w:rsid w:val="00410E4D"/>
    <w:rsid w:val="0044695E"/>
    <w:rsid w:val="004F40C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2B0D44B"/>
  <w15:chartTrackingRefBased/>
  <w15:docId w15:val="{C3A05D02-EFBE-0542-8AFC-B293719B6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rPr>
      <w:sz w:val="24"/>
      <w:szCs w:val="24"/>
      <w:lang w:eastAsia="zh-CN"/>
    </w:rPr>
  </w:style>
  <w:style w:type="paragraph" w:styleId="Titolo1">
    <w:name w:val="heading 1"/>
    <w:basedOn w:val="Normale"/>
    <w:next w:val="Normale"/>
    <w:qFormat/>
    <w:pPr>
      <w:keepNext/>
      <w:numPr>
        <w:numId w:val="1"/>
      </w:numPr>
      <w:jc w:val="both"/>
      <w:outlineLvl w:val="0"/>
    </w:pPr>
    <w:rPr>
      <w:b/>
      <w:bCs/>
    </w:rPr>
  </w:style>
  <w:style w:type="paragraph" w:styleId="Titolo2">
    <w:name w:val="heading 2"/>
    <w:basedOn w:val="Normale"/>
    <w:next w:val="Corpotesto"/>
    <w:qFormat/>
    <w:pPr>
      <w:numPr>
        <w:ilvl w:val="1"/>
        <w:numId w:val="1"/>
      </w:numPr>
      <w:spacing w:before="280" w:after="280"/>
      <w:outlineLvl w:val="1"/>
    </w:pPr>
    <w:rPr>
      <w:b/>
      <w:bCs/>
      <w:sz w:val="36"/>
      <w:szCs w:val="36"/>
    </w:rPr>
  </w:style>
  <w:style w:type="paragraph" w:styleId="Titolo3">
    <w:name w:val="heading 3"/>
    <w:basedOn w:val="Normale"/>
    <w:next w:val="Normale"/>
    <w:qFormat/>
    <w:pPr>
      <w:keepNext/>
      <w:numPr>
        <w:ilvl w:val="2"/>
        <w:numId w:val="1"/>
      </w:numPr>
      <w:ind w:firstLine="708"/>
      <w:jc w:val="both"/>
      <w:outlineLvl w:val="2"/>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Symbol" w:hAnsi="Symbol" w:cs="Symbol" w:hint="default"/>
      <w:sz w:val="20"/>
    </w:rPr>
  </w:style>
  <w:style w:type="character" w:customStyle="1" w:styleId="WW8Num3z1">
    <w:name w:val="WW8Num3z1"/>
    <w:rPr>
      <w:rFonts w:ascii="Courier New" w:hAnsi="Courier New" w:cs="Courier New" w:hint="default"/>
      <w:sz w:val="20"/>
    </w:rPr>
  </w:style>
  <w:style w:type="character" w:customStyle="1" w:styleId="WW8Num3z2">
    <w:name w:val="WW8Num3z2"/>
    <w:rPr>
      <w:rFonts w:ascii="Wingdings" w:hAnsi="Wingdings" w:cs="Wingdings" w:hint="default"/>
      <w:sz w:val="20"/>
    </w:rPr>
  </w:style>
  <w:style w:type="character" w:customStyle="1" w:styleId="WW8Num4z0">
    <w:name w:val="WW8Num4z0"/>
    <w:rPr>
      <w:rFonts w:ascii="Symbol" w:hAnsi="Symbol" w:cs="Symbol" w:hint="default"/>
      <w:sz w:val="20"/>
    </w:rPr>
  </w:style>
  <w:style w:type="character" w:customStyle="1" w:styleId="WW8Num4z1">
    <w:name w:val="WW8Num4z1"/>
    <w:rPr>
      <w:rFonts w:ascii="Courier New" w:hAnsi="Courier New" w:cs="Courier New" w:hint="default"/>
      <w:sz w:val="20"/>
    </w:rPr>
  </w:style>
  <w:style w:type="character" w:customStyle="1" w:styleId="WW8Num4z2">
    <w:name w:val="WW8Num4z2"/>
    <w:rPr>
      <w:rFonts w:ascii="Wingdings" w:hAnsi="Wingdings" w:cs="Wingdings" w:hint="default"/>
      <w:sz w:val="20"/>
    </w:rPr>
  </w:style>
  <w:style w:type="character" w:customStyle="1" w:styleId="WW8Num5z0">
    <w:name w:val="WW8Num5z0"/>
    <w:rPr>
      <w:rFonts w:ascii="Symbol" w:hAnsi="Symbol" w:cs="Symbol" w:hint="default"/>
      <w:sz w:val="20"/>
    </w:rPr>
  </w:style>
  <w:style w:type="character" w:customStyle="1" w:styleId="WW8Num5z1">
    <w:name w:val="WW8Num5z1"/>
    <w:rPr>
      <w:rFonts w:ascii="Courier New" w:hAnsi="Courier New" w:cs="Courier New" w:hint="default"/>
      <w:sz w:val="20"/>
    </w:rPr>
  </w:style>
  <w:style w:type="character" w:customStyle="1" w:styleId="WW8Num5z2">
    <w:name w:val="WW8Num5z2"/>
    <w:rPr>
      <w:rFonts w:ascii="Wingdings" w:hAnsi="Wingdings" w:cs="Wingdings" w:hint="default"/>
      <w:sz w:val="20"/>
    </w:rPr>
  </w:style>
  <w:style w:type="character" w:customStyle="1" w:styleId="WW8Num6z0">
    <w:name w:val="WW8Num6z0"/>
    <w:rPr>
      <w:rFonts w:ascii="Symbol" w:hAnsi="Symbol" w:cs="Symbol" w:hint="default"/>
      <w:sz w:val="20"/>
    </w:rPr>
  </w:style>
  <w:style w:type="character" w:customStyle="1" w:styleId="WW8Num6z1">
    <w:name w:val="WW8Num6z1"/>
    <w:rPr>
      <w:rFonts w:ascii="Courier New" w:hAnsi="Courier New" w:cs="Courier New" w:hint="default"/>
      <w:sz w:val="20"/>
    </w:rPr>
  </w:style>
  <w:style w:type="character" w:customStyle="1" w:styleId="WW8Num6z2">
    <w:name w:val="WW8Num6z2"/>
    <w:rPr>
      <w:rFonts w:ascii="Wingdings" w:hAnsi="Wingdings" w:cs="Wingdings" w:hint="default"/>
      <w:sz w:val="20"/>
    </w:rPr>
  </w:style>
  <w:style w:type="character" w:customStyle="1" w:styleId="WW8Num7z0">
    <w:name w:val="WW8Num7z0"/>
    <w:rPr>
      <w:rFonts w:ascii="Symbol" w:hAnsi="Symbol" w:cs="Symbol" w:hint="default"/>
      <w:sz w:val="20"/>
    </w:rPr>
  </w:style>
  <w:style w:type="character" w:customStyle="1" w:styleId="WW8Num7z1">
    <w:name w:val="WW8Num7z1"/>
    <w:rPr>
      <w:rFonts w:ascii="Courier New" w:hAnsi="Courier New" w:cs="Courier New" w:hint="default"/>
      <w:sz w:val="20"/>
    </w:rPr>
  </w:style>
  <w:style w:type="character" w:customStyle="1" w:styleId="WW8Num7z2">
    <w:name w:val="WW8Num7z2"/>
    <w:rPr>
      <w:rFonts w:ascii="Wingdings" w:hAnsi="Wingdings" w:cs="Wingdings" w:hint="default"/>
      <w:sz w:val="20"/>
    </w:rPr>
  </w:style>
  <w:style w:type="character" w:customStyle="1" w:styleId="Carpredefinitoparagrafo1">
    <w:name w:val="Car. predefinito paragrafo1"/>
  </w:style>
  <w:style w:type="character" w:styleId="Collegamentoipertestuale">
    <w:name w:val="Hyperlink"/>
    <w:rPr>
      <w:color w:val="CC9933"/>
      <w:u w:val="single"/>
    </w:rPr>
  </w:style>
  <w:style w:type="character" w:styleId="Enfasicorsivo">
    <w:name w:val="Emphasis"/>
    <w:qFormat/>
    <w:rPr>
      <w:b/>
      <w:bCs/>
      <w:i w:val="0"/>
      <w:iCs w:val="0"/>
    </w:rPr>
  </w:style>
  <w:style w:type="character" w:styleId="Collegamentovisitato">
    <w:name w:val="FollowedHyperlink"/>
    <w:rPr>
      <w:color w:val="800080"/>
      <w:u w:val="single"/>
    </w:rPr>
  </w:style>
  <w:style w:type="character" w:customStyle="1" w:styleId="mw-headline">
    <w:name w:val="mw-headline"/>
    <w:basedOn w:val="Carpredefinitoparagrafo1"/>
  </w:style>
  <w:style w:type="character" w:customStyle="1" w:styleId="editsection">
    <w:name w:val="editsection"/>
    <w:basedOn w:val="Carpredefinitoparagrafo1"/>
  </w:style>
  <w:style w:type="character" w:customStyle="1" w:styleId="FootnoteCharacters">
    <w:name w:val="Footnote Characters"/>
    <w:rPr>
      <w:vertAlign w:val="superscript"/>
    </w:rPr>
  </w:style>
  <w:style w:type="character" w:styleId="Numeropagina">
    <w:name w:val="page number"/>
    <w:basedOn w:val="Carpredefinitoparagrafo1"/>
  </w:style>
  <w:style w:type="character" w:customStyle="1" w:styleId="inlinetitle">
    <w:name w:val="inlinetitle"/>
    <w:rPr>
      <w:rFonts w:ascii="Verdana" w:hAnsi="Verdana" w:cs="Verdana" w:hint="default"/>
      <w:b/>
      <w:bCs/>
      <w:sz w:val="31"/>
      <w:szCs w:val="31"/>
    </w:rPr>
  </w:style>
  <w:style w:type="character" w:customStyle="1" w:styleId="findlink">
    <w:name w:val="findlink"/>
    <w:basedOn w:val="Carpredefinitoparagrafo1"/>
  </w:style>
  <w:style w:type="character" w:customStyle="1" w:styleId="bloglink">
    <w:name w:val="bloglink"/>
    <w:basedOn w:val="Carpredefinitoparagrafo1"/>
  </w:style>
  <w:style w:type="character" w:customStyle="1" w:styleId="toctoggle3">
    <w:name w:val="toctoggle3"/>
    <w:basedOn w:val="Carpredefinitoparagrafo1"/>
  </w:style>
  <w:style w:type="character" w:customStyle="1" w:styleId="tocnumber">
    <w:name w:val="tocnumber"/>
    <w:basedOn w:val="Carpredefinitoparagrafo1"/>
  </w:style>
  <w:style w:type="character" w:customStyle="1" w:styleId="toctext">
    <w:name w:val="toctext"/>
    <w:basedOn w:val="Carpredefinitoparagrafo1"/>
  </w:style>
  <w:style w:type="character" w:customStyle="1" w:styleId="updatedmarker">
    <w:name w:val="updatedmarker"/>
    <w:rPr>
      <w:color w:val="000000"/>
      <w:shd w:val="clear" w:color="auto" w:fill="00FF00"/>
    </w:rPr>
  </w:style>
  <w:style w:type="character" w:customStyle="1" w:styleId="notizia">
    <w:name w:val="notizia"/>
    <w:basedOn w:val="Carpredefinitoparagrafo1"/>
  </w:style>
  <w:style w:type="character" w:customStyle="1" w:styleId="titolo10">
    <w:name w:val="titolo1"/>
    <w:rPr>
      <w:rFonts w:ascii="Verdana" w:hAnsi="Verdana" w:cs="Verdana" w:hint="default"/>
      <w:b/>
      <w:bCs/>
      <w:sz w:val="26"/>
      <w:szCs w:val="26"/>
    </w:rPr>
  </w:style>
  <w:style w:type="character" w:customStyle="1" w:styleId="Rimandocommento1">
    <w:name w:val="Rimando commento1"/>
    <w:rPr>
      <w:sz w:val="16"/>
      <w:szCs w:val="16"/>
    </w:rPr>
  </w:style>
  <w:style w:type="character" w:styleId="Rimandonotaapidipagina">
    <w:name w:val="footnote reference"/>
    <w:rPr>
      <w:vertAlign w:val="superscript"/>
    </w:rPr>
  </w:style>
  <w:style w:type="character" w:styleId="Rimandonotadichiusura">
    <w:name w:val="endnote reference"/>
    <w:rPr>
      <w:vertAlign w:val="superscript"/>
    </w:rPr>
  </w:style>
  <w:style w:type="character" w:customStyle="1" w:styleId="EndnoteCharacters">
    <w:name w:val="Endnote Characters"/>
  </w:style>
  <w:style w:type="paragraph" w:customStyle="1" w:styleId="Heading">
    <w:name w:val="Heading"/>
    <w:basedOn w:val="Normale"/>
    <w:next w:val="Corpotesto"/>
    <w:pPr>
      <w:keepNext/>
      <w:spacing w:before="240" w:after="120"/>
    </w:pPr>
    <w:rPr>
      <w:rFonts w:ascii="Arial" w:eastAsia="Microsoft YaHei" w:hAnsi="Arial" w:cs="Lucida Sans"/>
      <w:sz w:val="28"/>
      <w:szCs w:val="28"/>
    </w:rPr>
  </w:style>
  <w:style w:type="paragraph" w:styleId="Corpotesto">
    <w:name w:val="Body Text"/>
    <w:basedOn w:val="Normale"/>
    <w:pPr>
      <w:jc w:val="both"/>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rPr>
  </w:style>
  <w:style w:type="paragraph" w:customStyle="1" w:styleId="Index">
    <w:name w:val="Index"/>
    <w:basedOn w:val="Normale"/>
    <w:pPr>
      <w:suppressLineNumbers/>
    </w:pPr>
    <w:rPr>
      <w:rFonts w:cs="Lucida Sans"/>
    </w:rPr>
  </w:style>
  <w:style w:type="paragraph" w:styleId="NormaleWeb">
    <w:name w:val="Normal (Web)"/>
    <w:basedOn w:val="Normale"/>
    <w:pPr>
      <w:spacing w:before="280" w:after="280"/>
    </w:pPr>
  </w:style>
  <w:style w:type="paragraph" w:styleId="Testonotaapidipagina">
    <w:name w:val="footnote text"/>
    <w:basedOn w:val="Normale"/>
    <w:rPr>
      <w:sz w:val="20"/>
      <w:szCs w:val="20"/>
    </w:rPr>
  </w:style>
  <w:style w:type="paragraph" w:customStyle="1" w:styleId="error">
    <w:name w:val="error"/>
    <w:basedOn w:val="Normale"/>
    <w:pPr>
      <w:spacing w:before="280" w:after="280"/>
    </w:pPr>
    <w:rPr>
      <w:rFonts w:ascii="Arial Unicode MS" w:eastAsia="Arial Unicode MS" w:hAnsi="Arial Unicode MS" w:cs="Arial Unicode MS"/>
      <w:color w:val="FF0000"/>
      <w:sz w:val="27"/>
      <w:szCs w:val="27"/>
    </w:rPr>
  </w:style>
  <w:style w:type="paragraph" w:customStyle="1" w:styleId="center">
    <w:name w:val="center"/>
    <w:basedOn w:val="Normale"/>
    <w:pPr>
      <w:spacing w:before="280" w:after="280"/>
      <w:jc w:val="center"/>
    </w:pPr>
    <w:rPr>
      <w:rFonts w:ascii="Arial Unicode MS" w:eastAsia="Arial Unicode MS" w:hAnsi="Arial Unicode MS" w:cs="Arial Unicode MS"/>
    </w:rPr>
  </w:style>
  <w:style w:type="paragraph" w:styleId="Pidipagina">
    <w:name w:val="footer"/>
    <w:basedOn w:val="Normale"/>
    <w:pPr>
      <w:tabs>
        <w:tab w:val="center" w:pos="4819"/>
        <w:tab w:val="right" w:pos="9638"/>
      </w:tabs>
    </w:pPr>
  </w:style>
  <w:style w:type="paragraph" w:customStyle="1" w:styleId="Testocommento1">
    <w:name w:val="Testo commento1"/>
    <w:basedOn w:val="Normale"/>
    <w:rPr>
      <w:sz w:val="20"/>
      <w:szCs w:val="20"/>
    </w:rPr>
  </w:style>
  <w:style w:type="paragraph" w:styleId="Soggettocommento">
    <w:name w:val="annotation subject"/>
    <w:basedOn w:val="Testocommento1"/>
    <w:next w:val="Testocommento1"/>
    <w:rPr>
      <w:b/>
      <w:bCs/>
    </w:rPr>
  </w:style>
  <w:style w:type="paragraph" w:styleId="Testofumetto">
    <w:name w:val="Balloon Text"/>
    <w:basedOn w:val="Normale"/>
    <w:rPr>
      <w:rFonts w:ascii="Tahoma" w:hAnsi="Tahoma" w:cs="Tahoma"/>
      <w:sz w:val="16"/>
      <w:szCs w:val="16"/>
    </w:rPr>
  </w:style>
  <w:style w:type="paragraph" w:customStyle="1" w:styleId="Corpodeltesto21">
    <w:name w:val="Corpo del testo 21"/>
    <w:basedOn w:val="Normale"/>
    <w:pPr>
      <w:spacing w:after="120" w:line="480" w:lineRule="auto"/>
    </w:pPr>
  </w:style>
  <w:style w:type="paragraph" w:customStyle="1" w:styleId="FrameContents">
    <w:name w:val="Frame Contents"/>
    <w:basedOn w:val="Normale"/>
  </w:style>
  <w:style w:type="paragraph" w:styleId="Intestazione">
    <w:name w:val="header"/>
    <w:basedOn w:val="Normale"/>
    <w:link w:val="IntestazioneCarattere"/>
    <w:uiPriority w:val="99"/>
    <w:unhideWhenUsed/>
    <w:rsid w:val="00410E4D"/>
    <w:pPr>
      <w:tabs>
        <w:tab w:val="center" w:pos="4819"/>
        <w:tab w:val="right" w:pos="9638"/>
      </w:tabs>
    </w:pPr>
  </w:style>
  <w:style w:type="character" w:customStyle="1" w:styleId="IntestazioneCarattere">
    <w:name w:val="Intestazione Carattere"/>
    <w:basedOn w:val="Carpredefinitoparagrafo"/>
    <w:link w:val="Intestazione"/>
    <w:uiPriority w:val="99"/>
    <w:rsid w:val="00410E4D"/>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space-roma3.caspur.it/bitstream/2307/180/1/Gioventu_fascista._LOpera_nazionale_balilla.pdf" TargetMode="External"/><Relationship Id="rId2" Type="http://schemas.openxmlformats.org/officeDocument/2006/relationships/hyperlink" Target="http://eprints.unifi.it/archive/00001538/01/10-Mori.pdf" TargetMode="External"/><Relationship Id="rId1" Type="http://schemas.openxmlformats.org/officeDocument/2006/relationships/hyperlink" Target="http://www.vatican.va/archive/ass/documents/ASS%2004%20%5B1868%5D%20-%20ocr.pdf" TargetMode="External"/><Relationship Id="rId4" Type="http://schemas.openxmlformats.org/officeDocument/2006/relationships/hyperlink" Target="http://www.catholic-hierarchy.org/bishop/bmist.html"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34</Pages>
  <Words>7281</Words>
  <Characters>41502</Characters>
  <Application>Microsoft Office Word</Application>
  <DocSecurity>0</DocSecurity>
  <Lines>345</Lines>
  <Paragraphs>97</Paragraphs>
  <ScaleCrop>false</ScaleCrop>
  <Company>Parrocchia Sacro Cuore al Romito</Company>
  <LinksUpToDate>false</LinksUpToDate>
  <CharactersWithSpaces>48686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  scoc provocato dalla perdita del potere temporale del papato avvenuto con l’unità d’Italia  nel decennio successivo dette origine ad un impedimento tassativo per i cattolici di partecipare alla vita politica del nuovo stato sabaudo</dc:title>
  <dc:subject/>
  <dc:creator>VPA</dc:creator>
  <cp:keywords/>
  <cp:lastModifiedBy>Paolo Capecchi</cp:lastModifiedBy>
  <cp:revision>2</cp:revision>
  <cp:lastPrinted>1995-11-21T16:41:00Z</cp:lastPrinted>
  <dcterms:created xsi:type="dcterms:W3CDTF">2026-10-20T15:00:00Z</dcterms:created>
  <dcterms:modified xsi:type="dcterms:W3CDTF">2026-10-20T15:00:00Z</dcterms:modified>
</cp:coreProperties>
</file>