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D97804A" w14:textId="77777777" w:rsidR="00A13ECD" w:rsidRDefault="00A13ECD">
      <w:pPr>
        <w:jc w:val="center"/>
        <w:rPr>
          <w:b/>
          <w:sz w:val="28"/>
          <w:szCs w:val="28"/>
        </w:rPr>
      </w:pPr>
      <w:r>
        <w:rPr>
          <w:b/>
          <w:sz w:val="28"/>
          <w:szCs w:val="28"/>
        </w:rPr>
        <w:t>Il Capitolo Laurenziano: un percorso storico attraverso le sue Costituzioni</w:t>
      </w:r>
    </w:p>
    <w:p w14:paraId="08215753" w14:textId="77777777" w:rsidR="00A13ECD" w:rsidRDefault="00A13ECD">
      <w:pPr>
        <w:jc w:val="center"/>
        <w:rPr>
          <w:b/>
          <w:sz w:val="28"/>
          <w:szCs w:val="28"/>
        </w:rPr>
      </w:pPr>
    </w:p>
    <w:p w14:paraId="021FC6B9" w14:textId="77777777" w:rsidR="00A13ECD" w:rsidRPr="0016032B" w:rsidRDefault="008E63A9">
      <w:pPr>
        <w:jc w:val="right"/>
      </w:pPr>
      <w:r>
        <w:t>d.</w:t>
      </w:r>
      <w:r w:rsidR="00A13ECD" w:rsidRPr="0016032B">
        <w:t xml:space="preserve"> Giancarlo Lanforti, </w:t>
      </w:r>
    </w:p>
    <w:p w14:paraId="18176A32" w14:textId="77777777" w:rsidR="00A13ECD" w:rsidRPr="0016032B" w:rsidRDefault="008E63A9">
      <w:pPr>
        <w:jc w:val="right"/>
      </w:pPr>
      <w:r>
        <w:t>canonico archivista</w:t>
      </w:r>
    </w:p>
    <w:p w14:paraId="5551C27A" w14:textId="77777777" w:rsidR="00A13ECD" w:rsidRDefault="00A13ECD">
      <w:pPr>
        <w:pStyle w:val="NormaleWeb"/>
        <w:tabs>
          <w:tab w:val="left" w:pos="6300"/>
        </w:tabs>
        <w:spacing w:after="240"/>
      </w:pPr>
      <w:r>
        <w:rPr>
          <w:b/>
        </w:rPr>
        <w:t>Premessa</w:t>
      </w:r>
      <w:r>
        <w:rPr>
          <w:b/>
        </w:rPr>
        <w:tab/>
      </w:r>
    </w:p>
    <w:p w14:paraId="3C9EA9A6" w14:textId="77777777" w:rsidR="00A13ECD" w:rsidRDefault="00A13ECD">
      <w:pPr>
        <w:ind w:right="-82"/>
        <w:jc w:val="both"/>
      </w:pPr>
      <w:r>
        <w:t>Parlare e scrivere del Capitolo Laurenziano vuole dire abbracciare l’incredibile storia fiorentina. Un compito non tanto arduo ma addirittura impossibile nello spazio assegnatomi. Pertanto</w:t>
      </w:r>
      <w:r w:rsidR="00662012">
        <w:t>,</w:t>
      </w:r>
      <w:r>
        <w:t xml:space="preserve"> volgendomi alla sterminata bibliografia</w:t>
      </w:r>
      <w:r>
        <w:rPr>
          <w:rStyle w:val="Caratteredellanota"/>
        </w:rPr>
        <w:footnoteReference w:id="1"/>
      </w:r>
      <w:r w:rsidR="00662012">
        <w:t>,</w:t>
      </w:r>
      <w:r>
        <w:t xml:space="preserve"> ho preferito ripercorrere il cammino delle Costituzioni capitolari che evidenziano, in maniera seppur sintetica, le fasi di elaborazione dell</w:t>
      </w:r>
      <w:r w:rsidR="00662012">
        <w:t>’</w:t>
      </w:r>
      <w:r>
        <w:t xml:space="preserve">identità del Capitolo attraverso i propri ruoli. Le Costituzioni, in realtà, si sono modificate nel tempo non solo per i necessari adeguamenti legislativi apportati dalle istituzioni gerarchiche della Chiesa - e dei quali, peraltro, il Capitolo è stato sempre osservatore obbediente - ma si sono evolute attraverso un processo identitario unico ed originale che, mediante precise scelte culturali e pastorali, ha reso la parrocchia di San Lorenzo insieme ai suoi </w:t>
      </w:r>
      <w:r w:rsidR="00CD3515">
        <w:t>Canonici</w:t>
      </w:r>
      <w:r>
        <w:t xml:space="preserve"> un “luogo teologico” incomparabile nella storia di Firenze.</w:t>
      </w:r>
    </w:p>
    <w:p w14:paraId="2DDF0B4A" w14:textId="77777777" w:rsidR="00A13ECD" w:rsidRDefault="00A13ECD">
      <w:pPr>
        <w:ind w:right="-567"/>
        <w:jc w:val="both"/>
      </w:pPr>
    </w:p>
    <w:p w14:paraId="60C0E262" w14:textId="77777777" w:rsidR="00A13ECD" w:rsidRDefault="00A13ECD">
      <w:pPr>
        <w:ind w:right="-567"/>
        <w:jc w:val="both"/>
      </w:pPr>
    </w:p>
    <w:p w14:paraId="62B9B4E6" w14:textId="77777777" w:rsidR="00A13ECD" w:rsidRDefault="00A13ECD">
      <w:pPr>
        <w:ind w:right="-567"/>
        <w:jc w:val="both"/>
      </w:pPr>
      <w:r>
        <w:rPr>
          <w:b/>
        </w:rPr>
        <w:t>Cenni storici sul Capitolo Laurenziano</w:t>
      </w:r>
    </w:p>
    <w:p w14:paraId="095DB998" w14:textId="77777777" w:rsidR="00A13ECD" w:rsidRDefault="00A13ECD">
      <w:pPr>
        <w:ind w:right="-567"/>
        <w:jc w:val="both"/>
      </w:pPr>
    </w:p>
    <w:p w14:paraId="6BA5AE1E" w14:textId="77777777" w:rsidR="00A13ECD" w:rsidRDefault="00A13ECD">
      <w:pPr>
        <w:pStyle w:val="NormaleWeb"/>
        <w:jc w:val="both"/>
        <w:rPr>
          <w:rFonts w:cs="AIIHDK+TimesNewRoman"/>
          <w:color w:val="000000"/>
          <w:szCs w:val="23"/>
        </w:rPr>
      </w:pPr>
      <w:r>
        <w:t>La storia del Capitolo di San Lorenzo oltre che essere inscindibile dalle sorti della sua Basilica e della città di Firenze è legata alla nascita del Presbiterio secolare locale e ne segue lo sviluppo</w:t>
      </w:r>
      <w:r w:rsidR="00662012">
        <w:t>,</w:t>
      </w:r>
      <w:r>
        <w:t xml:space="preserve"> soprattutto</w:t>
      </w:r>
      <w:r w:rsidR="00662012">
        <w:t>,</w:t>
      </w:r>
      <w:r>
        <w:t xml:space="preserve"> nella sua dimensione collegiale. Già dal III secolo infatti sviluppandosi le comunità cristiane ed articolandosi fuori delle città episcopali si assistette all’istituzione dei </w:t>
      </w:r>
      <w:r>
        <w:rPr>
          <w:i/>
        </w:rPr>
        <w:t xml:space="preserve">corepiscopi o vescovi di campagna </w:t>
      </w:r>
      <w:r>
        <w:t>che pur essendo semplici presbiteri o addiri</w:t>
      </w:r>
      <w:r w:rsidR="00662012">
        <w:t>ttura diaconi erano vicari del v</w:t>
      </w:r>
      <w:r>
        <w:t>escovo cittadino</w:t>
      </w:r>
      <w:r w:rsidR="00662012">
        <w:t xml:space="preserve"> ed</w:t>
      </w:r>
      <w:r>
        <w:t xml:space="preserve"> avevano il compito di organizzare la vita religiosa nei suburbi o nelle campagne. Il caso della Basilica di San Lorenzo presenta già una sua singolarità perché pur essendo assai vicina alla sede episcopale</w:t>
      </w:r>
      <w:r w:rsidR="00662012">
        <w:t>,</w:t>
      </w:r>
      <w:r>
        <w:t xml:space="preserve"> vede la costituzione di un suo clero, i </w:t>
      </w:r>
      <w:r w:rsidR="00CD3515">
        <w:t>Canonici</w:t>
      </w:r>
      <w:r>
        <w:t xml:space="preserve">, e di una sua importanza ed autonomia che richiama la presenza primitiva del Vescovo e si aprirebbe la </w:t>
      </w:r>
      <w:r>
        <w:rPr>
          <w:i/>
        </w:rPr>
        <w:t xml:space="preserve">vexata quaestio </w:t>
      </w:r>
      <w:r>
        <w:t>sulla Chiesa laurenziana quale</w:t>
      </w:r>
      <w:r>
        <w:rPr>
          <w:i/>
        </w:rPr>
        <w:t xml:space="preserve"> </w:t>
      </w:r>
      <w:r>
        <w:t xml:space="preserve">primitiva cattedrale e questo giustificherebbe la presenza </w:t>
      </w:r>
      <w:r>
        <w:rPr>
          <w:i/>
        </w:rPr>
        <w:t xml:space="preserve">ab antiquo </w:t>
      </w:r>
      <w:r>
        <w:t xml:space="preserve">di un Capitolo. Tuttavia la storiografia generale ci dice la rilevanza di questa chiesa posta già fuori delle antiche mura come anteposto di un’opera di evangelizzazione che, sotto le direttive del vescovo, anticipa la nascita di quell’ordinamento che poi avrebbe dato vita alla moderne parrocchie. A suffragio di questa tesi si </w:t>
      </w:r>
      <w:r>
        <w:lastRenderedPageBreak/>
        <w:t xml:space="preserve">può prendere ad esempio la costituzione dei </w:t>
      </w:r>
      <w:r>
        <w:rPr>
          <w:i/>
        </w:rPr>
        <w:t>tituli</w:t>
      </w:r>
      <w:r>
        <w:t xml:space="preserve"> delle prime chiese romane sviluppatesi fin dal IV secolo. Non va dimenticato, inoltre, che, di fronte alle difficoltà dell</w:t>
      </w:r>
      <w:r w:rsidR="00662012">
        <w:t>’</w:t>
      </w:r>
      <w:r>
        <w:t>evangelizzazione e ai contrasti acuiti successivamente alle invasioni barbariche, si stava instaurando nella chiesa un vero e proprio culto dei santi e dei martiri a garanzia e</w:t>
      </w:r>
      <w:r w:rsidR="000C3780">
        <w:t xml:space="preserve"> difesa dell’autenticità e della </w:t>
      </w:r>
      <w:r>
        <w:t>solidità della fede nel popolo</w:t>
      </w:r>
      <w:r>
        <w:rPr>
          <w:rStyle w:val="Caratteredellanota"/>
        </w:rPr>
        <w:footnoteReference w:id="2"/>
      </w:r>
      <w:r>
        <w:t xml:space="preserve">. </w:t>
      </w:r>
    </w:p>
    <w:p w14:paraId="4E15B40D" w14:textId="77777777" w:rsidR="00A13ECD" w:rsidRDefault="00A13ECD">
      <w:pPr>
        <w:autoSpaceDE w:val="0"/>
        <w:jc w:val="both"/>
        <w:rPr>
          <w:rFonts w:cs="AIIHDK+TimesNewRoman"/>
          <w:color w:val="000000"/>
          <w:szCs w:val="23"/>
        </w:rPr>
      </w:pPr>
      <w:r>
        <w:rPr>
          <w:rFonts w:cs="AIIHDK+TimesNewRoman"/>
          <w:color w:val="000000"/>
          <w:szCs w:val="23"/>
        </w:rPr>
        <w:t xml:space="preserve">Il termine “canonico” si riscontra per la prima volta presso San Basilio Magno e nel Concilio di Laodicea per distinguere il chierico, che seguiva i sacri «canoni», dai </w:t>
      </w:r>
      <w:r>
        <w:rPr>
          <w:rFonts w:cs="AIIHDK+TimesNewRoman"/>
          <w:i/>
          <w:color w:val="000000"/>
          <w:szCs w:val="23"/>
        </w:rPr>
        <w:t>clerici vagantes</w:t>
      </w:r>
      <w:r>
        <w:rPr>
          <w:rFonts w:cs="AIIHDK+TimesNewRoman"/>
          <w:color w:val="000000"/>
          <w:szCs w:val="23"/>
        </w:rPr>
        <w:t xml:space="preserve"> o addetti a una chiesa privata, ma senza rapporti col vescovo. Secondo Sant'Ambrogio fu Sant'Eusebio, vescovo di Vercelli, il primo a introdurre in Occidente fra il clero della sua diocesi</w:t>
      </w:r>
      <w:r w:rsidR="00662012">
        <w:rPr>
          <w:rFonts w:cs="AIIHDK+TimesNewRoman"/>
          <w:color w:val="000000"/>
          <w:szCs w:val="23"/>
        </w:rPr>
        <w:t>,</w:t>
      </w:r>
      <w:r>
        <w:rPr>
          <w:rFonts w:cs="AIIHDK+TimesNewRoman"/>
          <w:color w:val="000000"/>
          <w:szCs w:val="23"/>
        </w:rPr>
        <w:t xml:space="preserve"> la vita comune dei monaci, da lui conosciuta durante l'esilio in Oriente. </w:t>
      </w:r>
    </w:p>
    <w:p w14:paraId="31A93A01" w14:textId="77777777" w:rsidR="00A13ECD" w:rsidRDefault="00A13ECD">
      <w:pPr>
        <w:autoSpaceDE w:val="0"/>
        <w:jc w:val="both"/>
      </w:pPr>
      <w:r>
        <w:rPr>
          <w:rFonts w:cs="AIIHDK+TimesNewRoman"/>
          <w:color w:val="000000"/>
          <w:szCs w:val="23"/>
        </w:rPr>
        <w:t>Comunque a partire dalla fine del sec. IV, sull'esempio di quanto aveva attuato Sant' Agostino nella sua sede di Ippona, in molte diocesi il clero aveva adottato la convivenza comune in casa del vescovo, con regole (</w:t>
      </w:r>
      <w:r>
        <w:rPr>
          <w:rFonts w:cs="AIIHDK+TimesNewRoman"/>
          <w:i/>
          <w:color w:val="000000"/>
          <w:szCs w:val="23"/>
        </w:rPr>
        <w:t>canones</w:t>
      </w:r>
      <w:r>
        <w:rPr>
          <w:rFonts w:cs="AIIHDK+TimesNewRoman"/>
          <w:color w:val="000000"/>
          <w:szCs w:val="23"/>
        </w:rPr>
        <w:t xml:space="preserve">) di chiara ispirazione monastica. Furono detti </w:t>
      </w:r>
      <w:r w:rsidR="00CD3515">
        <w:rPr>
          <w:rFonts w:cs="AIIHDK+TimesNewRoman"/>
          <w:color w:val="000000"/>
          <w:szCs w:val="23"/>
        </w:rPr>
        <w:t>canonici</w:t>
      </w:r>
      <w:r>
        <w:rPr>
          <w:rFonts w:cs="AIIHHA+TimesNewRoman"/>
          <w:color w:val="000000"/>
          <w:szCs w:val="23"/>
        </w:rPr>
        <w:t xml:space="preserve"> </w:t>
      </w:r>
      <w:r>
        <w:rPr>
          <w:rFonts w:cs="AIIHDK+TimesNewRoman"/>
          <w:color w:val="000000"/>
          <w:szCs w:val="23"/>
        </w:rPr>
        <w:t xml:space="preserve">coloro che sottostavano a vita comunitaria e </w:t>
      </w:r>
      <w:r>
        <w:rPr>
          <w:rFonts w:cs="AIIHHA+TimesNewRoman"/>
          <w:i/>
          <w:color w:val="000000"/>
          <w:szCs w:val="23"/>
        </w:rPr>
        <w:t>capitulum</w:t>
      </w:r>
      <w:r>
        <w:rPr>
          <w:rFonts w:cs="AIIHHA+TimesNewRoman"/>
          <w:color w:val="000000"/>
          <w:szCs w:val="23"/>
        </w:rPr>
        <w:t xml:space="preserve"> </w:t>
      </w:r>
      <w:r>
        <w:rPr>
          <w:rFonts w:cs="AIIHDK+TimesNewRoman"/>
          <w:color w:val="000000"/>
          <w:szCs w:val="23"/>
        </w:rPr>
        <w:t>si denominò l'adunanza quotidiana dei medesimi, dedicata alla lettura di un capitolo della regola. Successivamente il termine</w:t>
      </w:r>
      <w:r>
        <w:rPr>
          <w:rFonts w:cs="AIIHDK+TimesNewRoman"/>
          <w:i/>
          <w:color w:val="000000"/>
          <w:szCs w:val="23"/>
        </w:rPr>
        <w:t xml:space="preserve"> </w:t>
      </w:r>
      <w:r>
        <w:rPr>
          <w:rFonts w:cs="AIIHHA+TimesNewRoman"/>
          <w:i/>
          <w:color w:val="000000"/>
          <w:szCs w:val="23"/>
        </w:rPr>
        <w:t>capitulum</w:t>
      </w:r>
      <w:r>
        <w:rPr>
          <w:rFonts w:cs="AIIHHA+TimesNewRoman"/>
          <w:color w:val="000000"/>
          <w:szCs w:val="23"/>
        </w:rPr>
        <w:t xml:space="preserve"> </w:t>
      </w:r>
      <w:r>
        <w:rPr>
          <w:rFonts w:cs="AIIHDK+TimesNewRoman"/>
          <w:color w:val="000000"/>
          <w:szCs w:val="23"/>
        </w:rPr>
        <w:t xml:space="preserve">indicò qualsiasi riunione dei </w:t>
      </w:r>
      <w:r w:rsidR="00CD3515">
        <w:rPr>
          <w:rFonts w:cs="AIIHDK+TimesNewRoman"/>
          <w:color w:val="000000"/>
          <w:szCs w:val="23"/>
        </w:rPr>
        <w:t>canonici</w:t>
      </w:r>
      <w:r>
        <w:rPr>
          <w:rFonts w:cs="AIIHDK+TimesNewRoman"/>
          <w:color w:val="000000"/>
          <w:szCs w:val="23"/>
        </w:rPr>
        <w:t>, fino ad identificarsi con lo stesso collegio canonicale</w:t>
      </w:r>
      <w:r>
        <w:rPr>
          <w:rStyle w:val="Caratteredellanota"/>
          <w:rFonts w:cs="AIIHDK+TimesNewRoman"/>
          <w:color w:val="000000"/>
          <w:szCs w:val="23"/>
        </w:rPr>
        <w:footnoteReference w:id="3"/>
      </w:r>
    </w:p>
    <w:p w14:paraId="442305B0" w14:textId="77777777" w:rsidR="00A13ECD" w:rsidRDefault="00A13ECD">
      <w:pPr>
        <w:pStyle w:val="NormaleWeb"/>
        <w:tabs>
          <w:tab w:val="left" w:pos="6300"/>
        </w:tabs>
        <w:spacing w:after="240"/>
        <w:jc w:val="both"/>
      </w:pPr>
      <w:r>
        <w:t>L’Insigne Basilica Laurenziana, così detta perché dedicata al santo diacono Lorenzo, martire romano, è, secondo la più comune opinione degli storici, la prima chiesa cristiana sorta in Firenze. La sua origine risale all’anno 390 circa: fu fatta costruire da una pia gentildonna fiorentina di nome Giuliana, che da Dio aveva ottenuto una segnalata grazia per intercessione del Santo diacono martire, e fu consacrata dal grande Vescovo di Milano S. Ambrogio, intorno alla Pasqua del 39</w:t>
      </w:r>
      <w:r w:rsidR="000501DC">
        <w:t>3</w:t>
      </w:r>
      <w:r>
        <w:t>, che in quell’occasione pronunciò il celebre sermone “</w:t>
      </w:r>
      <w:r>
        <w:rPr>
          <w:i/>
        </w:rPr>
        <w:t>Esortatio virginitatis</w:t>
      </w:r>
      <w:r>
        <w:t xml:space="preserve">” </w:t>
      </w:r>
      <w:r>
        <w:rPr>
          <w:rStyle w:val="Caratteredellanota"/>
        </w:rPr>
        <w:footnoteReference w:id="4"/>
      </w:r>
      <w:r>
        <w:t xml:space="preserve">. </w:t>
      </w:r>
      <w:r>
        <w:rPr>
          <w:iCs/>
        </w:rPr>
        <w:t>La</w:t>
      </w:r>
      <w:r>
        <w:rPr>
          <w:i/>
          <w:iCs/>
        </w:rPr>
        <w:t xml:space="preserve"> </w:t>
      </w:r>
      <w:r>
        <w:t>Basilica di S. Lorenzo fu</w:t>
      </w:r>
      <w:r w:rsidR="00130F70">
        <w:t>,</w:t>
      </w:r>
      <w:r>
        <w:t xml:space="preserve"> </w:t>
      </w:r>
      <w:r w:rsidR="00130F70">
        <w:t>poi,</w:t>
      </w:r>
      <w:r>
        <w:t xml:space="preserve"> chiamata, in ricordo del S. Vescovo milanese, “Basilica Ambrosiana”. La testimonianza su San Lorenzo viene da un documento di incontrastabile autenticità, la “</w:t>
      </w:r>
      <w:r>
        <w:rPr>
          <w:i/>
        </w:rPr>
        <w:t xml:space="preserve">Vita Ambrosii” </w:t>
      </w:r>
      <w:r>
        <w:t>di Paolino, diacono delle Chiesa milanese e segretario dello stesso Vescovo Ambrogio. Paolino scrive che Ambrogio si era allontanato da Milano per incontrare il sacrilego imperatore Eugenio, recandosi prima a Bologna  e poi a Faenza; di lì, invitato dai fiorentini, venne nella loro città, dove consacrò la suddetta chiesa. Paolino non precisa le date ma si ritiene che Ambrogio abbia lasciato Milano nell’estate del 393, che sia venuto a Firenze nei primi mesi del 39</w:t>
      </w:r>
      <w:r w:rsidR="008E63A9">
        <w:t>3</w:t>
      </w:r>
      <w:r>
        <w:t>, che abbia fatto la consacrazione della chiesa durante le feste pasquali e poi sia rimasto per un certo tempo a Firenze</w:t>
      </w:r>
      <w:r>
        <w:rPr>
          <w:rStyle w:val="Caratteredellanota"/>
        </w:rPr>
        <w:footnoteReference w:id="5"/>
      </w:r>
      <w:r>
        <w:rPr>
          <w:i/>
        </w:rPr>
        <w:t>.</w:t>
      </w:r>
    </w:p>
    <w:p w14:paraId="0E9E1C2A" w14:textId="77777777" w:rsidR="00A13ECD" w:rsidRDefault="00A13ECD">
      <w:pPr>
        <w:pStyle w:val="NormaleWeb"/>
        <w:jc w:val="both"/>
      </w:pPr>
      <w:r>
        <w:t xml:space="preserve">La dedicazione della chiesa al santo martire romano Lorenzo rispondeva ad una  vera e propria strategia religiosa volta a sostenere il legame con la chiesa di Roma ma anche il legame con l’Imperatore cristiano. La presenza di Ambrogio, poi, dette ancora più consistenza a questa linea di pensiero </w:t>
      </w:r>
      <w:r w:rsidR="00130F70">
        <w:t xml:space="preserve">per </w:t>
      </w:r>
      <w:r>
        <w:t xml:space="preserve">la consacrazione e la collocazione di reliquie di altri martiri quali Vitale e Agricola uccisi e sepolti a Bologna ma poi traslati da Ambrogio a Milano. Né va passato sotto silenzio il legame tra la </w:t>
      </w:r>
      <w:r w:rsidRPr="00662012">
        <w:t xml:space="preserve">chiesa fiorentina, detta ambrosiana, e la chiesa di Milano in quel periodo faro di evangelizzazione e di civiltà essendo stata la sede del famoso editto costantiniano. La Basilica milanese, edificata tra il </w:t>
      </w:r>
      <w:hyperlink r:id="rId6" w:history="1">
        <w:r w:rsidRPr="00662012">
          <w:rPr>
            <w:rStyle w:val="Collegamentoipertestuale"/>
            <w:color w:val="auto"/>
            <w:u w:val="none"/>
          </w:rPr>
          <w:t>379</w:t>
        </w:r>
      </w:hyperlink>
      <w:r w:rsidRPr="00662012">
        <w:t xml:space="preserve"> e il </w:t>
      </w:r>
      <w:hyperlink r:id="rId7" w:history="1">
        <w:r w:rsidRPr="00662012">
          <w:rPr>
            <w:rStyle w:val="Collegamentoipertestuale"/>
            <w:color w:val="auto"/>
            <w:u w:val="none"/>
          </w:rPr>
          <w:t>386</w:t>
        </w:r>
      </w:hyperlink>
      <w:r w:rsidRPr="00662012">
        <w:t xml:space="preserve"> per volere del </w:t>
      </w:r>
      <w:hyperlink r:id="rId8" w:history="1">
        <w:r w:rsidRPr="00662012">
          <w:rPr>
            <w:rStyle w:val="Collegamentoipertestuale"/>
            <w:color w:val="auto"/>
            <w:u w:val="none"/>
          </w:rPr>
          <w:t>vescovo di Milano</w:t>
        </w:r>
      </w:hyperlink>
      <w:r w:rsidRPr="00662012">
        <w:t xml:space="preserve"> </w:t>
      </w:r>
      <w:hyperlink r:id="rId9" w:history="1">
        <w:r w:rsidRPr="00662012">
          <w:rPr>
            <w:rStyle w:val="Collegamentoipertestuale"/>
            <w:color w:val="auto"/>
            <w:u w:val="none"/>
          </w:rPr>
          <w:t>Ambrogio</w:t>
        </w:r>
      </w:hyperlink>
      <w:r w:rsidRPr="00662012">
        <w:t xml:space="preserve">, fu costruita in una zona in cui erano stati </w:t>
      </w:r>
      <w:r w:rsidRPr="00662012">
        <w:lastRenderedPageBreak/>
        <w:t xml:space="preserve">sepolti i cristiani </w:t>
      </w:r>
      <w:hyperlink r:id="rId10" w:history="1">
        <w:r w:rsidRPr="00662012">
          <w:rPr>
            <w:rStyle w:val="Collegamentoipertestuale"/>
            <w:color w:val="auto"/>
            <w:u w:val="none"/>
          </w:rPr>
          <w:t>martirizzati</w:t>
        </w:r>
      </w:hyperlink>
      <w:r w:rsidRPr="00662012">
        <w:t xml:space="preserve"> dalle persecuzioni romane. Per questo venne dedicata ai martiri ed era chiamata </w:t>
      </w:r>
      <w:r w:rsidRPr="00662012">
        <w:rPr>
          <w:i/>
          <w:iCs/>
        </w:rPr>
        <w:t>Basilica Martyrum</w:t>
      </w:r>
      <w:r w:rsidRPr="00662012">
        <w:t xml:space="preserve">: lo stesso Ambrogio voleva riporvi tutte le </w:t>
      </w:r>
      <w:hyperlink r:id="rId11" w:history="1">
        <w:r w:rsidRPr="00662012">
          <w:rPr>
            <w:rStyle w:val="Collegamentoipertestuale"/>
            <w:color w:val="auto"/>
            <w:u w:val="none"/>
          </w:rPr>
          <w:t>reliquie</w:t>
        </w:r>
      </w:hyperlink>
      <w:r w:rsidRPr="00662012">
        <w:t xml:space="preserve"> dei santi martiri </w:t>
      </w:r>
      <w:hyperlink r:id="rId12" w:history="1">
        <w:r w:rsidRPr="00662012">
          <w:rPr>
            <w:rStyle w:val="Collegamentoipertestuale"/>
            <w:color w:val="auto"/>
            <w:u w:val="none"/>
          </w:rPr>
          <w:t>Satiro</w:t>
        </w:r>
      </w:hyperlink>
      <w:r w:rsidRPr="00662012">
        <w:t xml:space="preserve">, </w:t>
      </w:r>
      <w:hyperlink r:id="rId13" w:history="1">
        <w:r w:rsidRPr="00662012">
          <w:rPr>
            <w:rStyle w:val="Collegamentoipertestuale"/>
            <w:color w:val="auto"/>
            <w:u w:val="none"/>
          </w:rPr>
          <w:t>Vittore</w:t>
        </w:r>
      </w:hyperlink>
      <w:r w:rsidRPr="00662012">
        <w:t xml:space="preserve">, </w:t>
      </w:r>
      <w:hyperlink r:id="rId14" w:history="1">
        <w:r w:rsidRPr="00662012">
          <w:rPr>
            <w:rStyle w:val="Collegamentoipertestuale"/>
            <w:color w:val="auto"/>
            <w:u w:val="none"/>
          </w:rPr>
          <w:t>Nabore</w:t>
        </w:r>
      </w:hyperlink>
      <w:r w:rsidRPr="00662012">
        <w:t xml:space="preserve">, </w:t>
      </w:r>
      <w:hyperlink r:id="rId15" w:history="1">
        <w:r w:rsidRPr="00662012">
          <w:rPr>
            <w:rStyle w:val="Collegamentoipertestuale"/>
            <w:color w:val="auto"/>
            <w:u w:val="none"/>
          </w:rPr>
          <w:t>Vitale</w:t>
        </w:r>
      </w:hyperlink>
      <w:r w:rsidRPr="00662012">
        <w:t xml:space="preserve">, </w:t>
      </w:r>
      <w:hyperlink r:id="rId16" w:history="1">
        <w:r w:rsidRPr="00662012">
          <w:rPr>
            <w:rStyle w:val="Collegamentoipertestuale"/>
            <w:color w:val="auto"/>
            <w:u w:val="none"/>
          </w:rPr>
          <w:t>Felice</w:t>
        </w:r>
      </w:hyperlink>
      <w:r w:rsidRPr="00662012">
        <w:t xml:space="preserve">, </w:t>
      </w:r>
      <w:hyperlink r:id="rId17" w:history="1">
        <w:r w:rsidRPr="00662012">
          <w:rPr>
            <w:rStyle w:val="Collegamentoipertestuale"/>
            <w:color w:val="auto"/>
            <w:u w:val="none"/>
          </w:rPr>
          <w:t>Valeria</w:t>
        </w:r>
      </w:hyperlink>
      <w:r w:rsidRPr="00662012">
        <w:t xml:space="preserve">, </w:t>
      </w:r>
      <w:hyperlink r:id="rId18" w:history="1">
        <w:r w:rsidRPr="00662012">
          <w:rPr>
            <w:rStyle w:val="Collegamentoipertestuale"/>
            <w:color w:val="auto"/>
            <w:u w:val="none"/>
          </w:rPr>
          <w:t>Gervasio e Protasio</w:t>
        </w:r>
      </w:hyperlink>
      <w:r w:rsidRPr="00662012">
        <w:t xml:space="preserve">. Sant'Ambrogio stesso vi venne sepolto e da allora cambiò nome, assumendo quello attuale. </w:t>
      </w:r>
    </w:p>
    <w:p w14:paraId="62AB27F6" w14:textId="77777777" w:rsidR="00A13ECD" w:rsidRDefault="00A13ECD">
      <w:pPr>
        <w:pStyle w:val="NormaleWeb"/>
        <w:jc w:val="both"/>
      </w:pPr>
      <w:r>
        <w:t xml:space="preserve">Significativa, al riguardo, la testimonianza del Cianfogni nelle sue </w:t>
      </w:r>
      <w:r>
        <w:rPr>
          <w:i/>
        </w:rPr>
        <w:t xml:space="preserve">Memorie </w:t>
      </w:r>
      <w:r>
        <w:t xml:space="preserve">quando rivela che il rituale della Domenica della Palme della Basilica fiorentina era identico a quello della Basilica milanese. In entrambi i casi sia a Milano che a Firenze la processione col vescovo e i </w:t>
      </w:r>
      <w:r w:rsidR="00CD3515">
        <w:t>canonici</w:t>
      </w:r>
      <w:r>
        <w:t xml:space="preserve"> delle cattedrali milanese e fiorentina iniziavano entrambi nelle rispettive  Basiliche di San Lorenzo</w:t>
      </w:r>
      <w:r>
        <w:rPr>
          <w:rStyle w:val="Caratteredellanota"/>
        </w:rPr>
        <w:footnoteReference w:id="6"/>
      </w:r>
      <w:r>
        <w:t xml:space="preserve">. </w:t>
      </w:r>
    </w:p>
    <w:p w14:paraId="5B28E4C1" w14:textId="77777777" w:rsidR="00A13ECD" w:rsidRDefault="00A13ECD">
      <w:pPr>
        <w:pStyle w:val="NormaleWeb"/>
        <w:jc w:val="both"/>
        <w:rPr>
          <w:rFonts w:cs="AIIHDK+TimesNewRoman"/>
          <w:color w:val="000000"/>
        </w:rPr>
      </w:pPr>
      <w:r>
        <w:t xml:space="preserve">Pertanto non è peregrino pensare che la Basilica fiorentina guardasse a quella milanese anche nel suo ruolo religioso e spirituale e strategico, quale presidio, simile a quella milanese, del suburbio cittadino. Una base credibile poteva essere proprio la </w:t>
      </w:r>
      <w:r>
        <w:rPr>
          <w:i/>
        </w:rPr>
        <w:t>Memoria martyrum</w:t>
      </w:r>
      <w:r w:rsidR="00662012">
        <w:t xml:space="preserve"> com’era concepita</w:t>
      </w:r>
      <w:r>
        <w:t xml:space="preserve"> nella tradizione ecclesiale occidentale e, </w:t>
      </w:r>
      <w:r w:rsidR="00130F70">
        <w:t xml:space="preserve">forse, </w:t>
      </w:r>
      <w:r>
        <w:t xml:space="preserve">per questo motivo, si moltiplicarono nei secoli la presenza di reliquie. Infatti, la Basilica possiede molte insigni reliquie sacre: oltre quelle della S. Croce, della Beata Vergine, del Patrono S. Lorenzo e di S Ambrogio, custodisce i corpi di S. Marco Papa, di S. Amato Abate e di S. Concordia Martire, nonché numerosissime reliquie che, fatte da Leone X trasportare da Costantinopoli a Roma, furono poi da Clemente VII donate alla Basilica </w:t>
      </w:r>
      <w:r>
        <w:rPr>
          <w:rStyle w:val="Caratteredellanota"/>
        </w:rPr>
        <w:footnoteReference w:id="7"/>
      </w:r>
      <w:r>
        <w:t>. Le reliquie sono oggi racchiuse in reliquiari di valore inestimabile sia per il pregio artistico sia per la preziosità della materia, di cui sono composti e per le gemme, che riccamente le adornano. A coronamento di questo percorso spirituale, la Basilica custodisce, infine, in un raro sepolcro di epoca romana, il venerato corpo del beato Niccolò Stenone.</w:t>
      </w:r>
    </w:p>
    <w:p w14:paraId="4ADC9887" w14:textId="77777777" w:rsidR="00A13ECD" w:rsidRDefault="00A13ECD">
      <w:pPr>
        <w:autoSpaceDE w:val="0"/>
        <w:jc w:val="both"/>
        <w:rPr>
          <w:rFonts w:cs="AIIHDK+TimesNewRoman"/>
          <w:color w:val="000000"/>
        </w:rPr>
      </w:pPr>
      <w:r>
        <w:rPr>
          <w:rFonts w:cs="AIIHDK+TimesNewRoman"/>
          <w:color w:val="000000"/>
        </w:rPr>
        <w:t xml:space="preserve">Tornando all’argomento della presenza del Capitolo nella Basilica Laurenziana occorre ricordare che la vita comunitaria del clero, aveva preso come modello la vita degli apostoli con il Signore e favoriva lo svolgimento pratico della liturgia, perché la celebrazione esigeva la presenza, a intervalli frequenti durante la giornata, di parecchi ministri. </w:t>
      </w:r>
    </w:p>
    <w:p w14:paraId="0BD459C6" w14:textId="77777777" w:rsidR="00662012" w:rsidRDefault="00A13ECD">
      <w:pPr>
        <w:autoSpaceDE w:val="0"/>
        <w:jc w:val="both"/>
        <w:rPr>
          <w:rFonts w:cs="AIIHDK+TimesNewRoman"/>
          <w:color w:val="000000"/>
        </w:rPr>
      </w:pPr>
      <w:r>
        <w:rPr>
          <w:rFonts w:cs="AIIHDK+TimesNewRoman"/>
          <w:color w:val="000000"/>
        </w:rPr>
        <w:t>Il problema della vita comune del clero è complesso e costituisce tutt'ora oggetto di approfondimenti che riprenderemo in seguito.</w:t>
      </w:r>
    </w:p>
    <w:p w14:paraId="6C84B587" w14:textId="77777777" w:rsidR="00662012" w:rsidRDefault="00A13ECD">
      <w:pPr>
        <w:autoSpaceDE w:val="0"/>
        <w:jc w:val="both"/>
        <w:rPr>
          <w:rFonts w:cs="AIIHDK+TimesNewRoman"/>
          <w:color w:val="000000"/>
        </w:rPr>
      </w:pPr>
      <w:r>
        <w:rPr>
          <w:rFonts w:cs="AIIHDK+TimesNewRoman"/>
          <w:color w:val="000000"/>
        </w:rPr>
        <w:t xml:space="preserve"> </w:t>
      </w:r>
    </w:p>
    <w:p w14:paraId="3A34E984" w14:textId="77777777" w:rsidR="00A13ECD" w:rsidRDefault="00662012">
      <w:pPr>
        <w:autoSpaceDE w:val="0"/>
        <w:jc w:val="both"/>
        <w:rPr>
          <w:rFonts w:cs="AIIHDK+TimesNewRoman"/>
          <w:color w:val="000000"/>
        </w:rPr>
      </w:pPr>
      <w:r>
        <w:rPr>
          <w:rFonts w:cs="AIIHDK+TimesNewRoman"/>
          <w:color w:val="000000"/>
        </w:rPr>
        <w:t>I</w:t>
      </w:r>
      <w:r w:rsidR="00A13ECD">
        <w:rPr>
          <w:rFonts w:cs="AIIHDK+TimesNewRoman"/>
          <w:color w:val="000000"/>
        </w:rPr>
        <w:t xml:space="preserve">n alcune diocesi, tra cui molto probabilmente Firenze, fu permesso ai </w:t>
      </w:r>
      <w:r w:rsidR="00CD3515">
        <w:rPr>
          <w:rFonts w:cs="AIIHDK+TimesNewRoman"/>
          <w:color w:val="000000"/>
        </w:rPr>
        <w:t>canonici</w:t>
      </w:r>
      <w:r w:rsidR="00A13ECD">
        <w:rPr>
          <w:rFonts w:cs="AIIHDK+TimesNewRoman"/>
          <w:color w:val="000000"/>
        </w:rPr>
        <w:t xml:space="preserve"> di abitare in una propria casa vicino al chiostro (</w:t>
      </w:r>
      <w:r w:rsidR="00A13ECD">
        <w:rPr>
          <w:rFonts w:cs="AIIHDK+TimesNewRoman"/>
          <w:i/>
          <w:color w:val="000000"/>
        </w:rPr>
        <w:t>claustrum</w:t>
      </w:r>
      <w:r w:rsidR="00A13ECD">
        <w:rPr>
          <w:rFonts w:cs="AIIHDK+TimesNewRoman"/>
          <w:color w:val="000000"/>
        </w:rPr>
        <w:t xml:space="preserve">) con l'obbligo però del refettorio in comune: il suono della campana della chiesa vicina li convocava alle varie officiature. Un po' alla volta i chierici </w:t>
      </w:r>
      <w:r w:rsidR="00CD3515">
        <w:rPr>
          <w:rFonts w:cs="AIIHDK+TimesNewRoman"/>
          <w:color w:val="000000"/>
        </w:rPr>
        <w:t>canonici</w:t>
      </w:r>
      <w:r w:rsidR="00A13ECD">
        <w:rPr>
          <w:rFonts w:cs="AIIHDK+TimesNewRoman"/>
          <w:color w:val="000000"/>
        </w:rPr>
        <w:t xml:space="preserve"> divennero secolari, adeguandosi al modo di vita dei sacerdoti in “cura d'anime”, i quali per il loro particolare ministero, non potendo vivere in comune, risiedevano presso la chiesa dove svolgevano la loro attività. </w:t>
      </w:r>
    </w:p>
    <w:p w14:paraId="1AEF2EF8" w14:textId="77777777" w:rsidR="00662012" w:rsidRDefault="00662012">
      <w:pPr>
        <w:autoSpaceDE w:val="0"/>
        <w:jc w:val="both"/>
        <w:rPr>
          <w:rFonts w:cs="AIIHDK+TimesNewRoman"/>
          <w:color w:val="000000"/>
        </w:rPr>
      </w:pPr>
    </w:p>
    <w:p w14:paraId="64E9948B" w14:textId="77777777" w:rsidR="00A13ECD" w:rsidRDefault="00A13ECD">
      <w:pPr>
        <w:autoSpaceDE w:val="0"/>
        <w:jc w:val="both"/>
      </w:pPr>
      <w:r>
        <w:rPr>
          <w:rFonts w:cs="AIIHDK+TimesNewRoman"/>
          <w:color w:val="000000"/>
        </w:rPr>
        <w:t>Dopo la crisi generale provocata dalle invasioni barbariche, con ripercussioni negative nella disciplina del Capitolo, a Firenze, come nelle altre diocesi italiane, nel corso dell'ottavo secolo si ha una ripresa della vita liturgica e culturale. Ad esempio d</w:t>
      </w:r>
      <w:r>
        <w:rPr>
          <w:rFonts w:cs="AIIHDK+TimesNewRoman"/>
          <w:color w:val="000000"/>
          <w:szCs w:val="23"/>
        </w:rPr>
        <w:t xml:space="preserve">urante l'epoca carolingia viene introdotta in Italia la disciplina canonicale unitaria elaborata intorno al 760 da Crodegango, vescovo di Metz e codificata dal Concilio di Aquisgrana dell'816. La regola ribadiva in particolare l'obbligo per i </w:t>
      </w:r>
      <w:r w:rsidR="00CD3515">
        <w:rPr>
          <w:rFonts w:cs="AIIHDK+TimesNewRoman"/>
          <w:color w:val="000000"/>
          <w:szCs w:val="23"/>
        </w:rPr>
        <w:t>canonici</w:t>
      </w:r>
      <w:r>
        <w:rPr>
          <w:rFonts w:cs="AIIHDK+TimesNewRoman"/>
          <w:color w:val="000000"/>
          <w:szCs w:val="23"/>
        </w:rPr>
        <w:t xml:space="preserve"> di cantare l'ufficio corale. A Firenze si ha la prova documentale della nascita del Capitolo Metropolitano o clero di Santa Reparata con un chiaro riferimento ad una consuetudine già consolidata da San Zanobi </w:t>
      </w:r>
      <w:r>
        <w:rPr>
          <w:rStyle w:val="Caratteredellanota"/>
          <w:rFonts w:cs="AIIHDK+TimesNewRoman"/>
          <w:color w:val="000000"/>
          <w:szCs w:val="23"/>
        </w:rPr>
        <w:footnoteReference w:id="8"/>
      </w:r>
      <w:r>
        <w:rPr>
          <w:rFonts w:cs="AIIHDK+TimesNewRoman"/>
          <w:color w:val="000000"/>
          <w:szCs w:val="23"/>
        </w:rPr>
        <w:t>.</w:t>
      </w:r>
    </w:p>
    <w:p w14:paraId="6FF47807" w14:textId="77777777" w:rsidR="00A13ECD" w:rsidRDefault="00A13ECD">
      <w:pPr>
        <w:pStyle w:val="NormaleWeb"/>
        <w:jc w:val="both"/>
      </w:pPr>
      <w:r>
        <w:lastRenderedPageBreak/>
        <w:t>Ad ulteriore conferma dello sviluppo e del ruolo del Capitolo Laurenziano</w:t>
      </w:r>
      <w:r w:rsidR="00662012">
        <w:t>,</w:t>
      </w:r>
      <w:r>
        <w:t xml:space="preserve"> dobbiamo però giungere all’epoca carolingia per vedere</w:t>
      </w:r>
      <w:r w:rsidR="00662012">
        <w:t>,</w:t>
      </w:r>
      <w:r>
        <w:t xml:space="preserve"> come nello sviluppo delle circoscrizioni ecclesiastiche di carattere sempre più feudali</w:t>
      </w:r>
      <w:r w:rsidR="00662012">
        <w:t>,</w:t>
      </w:r>
      <w:r>
        <w:t xml:space="preserve"> le chiese di una certa importanza, come la Nostra, potevano avere un presbiterio residente simile a quello intorno al Vescovo. Questo collegio presbiterale risultava radunato intorno alla memoria dei martiri e delle loro preziose reliquie perseguendo lo scopo di una evangelizzazione sempre più capillare ed incisiva precorritrice, per certi versi, della grande riforma gregoriana del sec. XI.</w:t>
      </w:r>
    </w:p>
    <w:p w14:paraId="10AD9517" w14:textId="77777777" w:rsidR="00A13ECD" w:rsidRDefault="00A13ECD">
      <w:pPr>
        <w:pStyle w:val="NormaleWeb"/>
        <w:tabs>
          <w:tab w:val="left" w:pos="6300"/>
        </w:tabs>
        <w:spacing w:after="240"/>
        <w:jc w:val="both"/>
      </w:pPr>
      <w:r>
        <w:t>Sicuramente,</w:t>
      </w:r>
      <w:r w:rsidR="00662012">
        <w:t xml:space="preserve"> </w:t>
      </w:r>
      <w:r>
        <w:t>oltre alle reliquie dei martiri e dei santi, ha giocato un ruolo determinante la presenza, del corpo e della venerazione popolare del vescovo Zanobi. Egli, contemporaneo di Ambrogio fu da lui scelto ed indicato al Papa come idoneo apostolo per la sede episcopale di Firenze. Al di là dei dati scarni e delle molteplici “leggende”</w:t>
      </w:r>
      <w:r>
        <w:rPr>
          <w:i/>
        </w:rPr>
        <w:t xml:space="preserve"> </w:t>
      </w:r>
      <w:r>
        <w:t xml:space="preserve">sulla sua vita è innegabile la sua opera evangelizzatrice nelle campagne ed una certa organizzazione territoriale che dette vita ad una vera e propria circoscrizione diocesana. Emblematico il fatto che Zanobi - il cui nome tradisce origini orientali - abbia voluto essere sepolto nella Basilica laurenziana. Non solo per un sentimento di gratitudine nei confronti del proprio </w:t>
      </w:r>
      <w:r>
        <w:rPr>
          <w:i/>
        </w:rPr>
        <w:t>mentore</w:t>
      </w:r>
      <w:r>
        <w:t xml:space="preserve"> milanese quanto per la importanza della Basilica, per la sua prestigiosa consacrazione, per la presenza delle reliquie di martiri dell’evangelizzazione e della testimonianza eroica.  Non è illogico, come è stato rilevato nel passato, pensare che la sede laurenziana potesse essere stata per qualche tempo prima cattedrale di Firenze. Tuttavia va aggiunto che al momento della traslazione del corpo di Zanobi in Santa Reparata, proclamata Cattedrale di Firenze, la Basilica ambrosiana di Firenze non perse la sua importanza ma ne </w:t>
      </w:r>
      <w:r w:rsidR="00662012">
        <w:t>rafforzò</w:t>
      </w:r>
      <w:r>
        <w:t xml:space="preserve"> il proprio ruolo spirituale  se, il 9 gennaio del 1059, ebbe la nuova consacrazione da parte del papa Niccolò II. </w:t>
      </w:r>
      <w:r w:rsidR="008E63A9">
        <w:t>Gherardo</w:t>
      </w:r>
      <w:r>
        <w:t>, già vescovo di Firenze, aveva concorso alla ristrutturazione di Santa Reparata secondo i modelli borgognoni, sua terra di origine, ma volle con questo solenne atto di consacrazione manifestare un particolare riconoscimento verso la chiesa di San Lorenzo. Preziosa testimonianza è la Bolla “</w:t>
      </w:r>
      <w:r>
        <w:rPr>
          <w:i/>
        </w:rPr>
        <w:t>Quoniam Omnipotentis dignatio</w:t>
      </w:r>
      <w:r>
        <w:t xml:space="preserve">” del 20 gennaio 1059 che, consacrata la Basilica, conferiva alla chiesa di San Lorenzo parecchi beni, posti nel popolo di S. Marco Vecchio “per provvedere al mantenimento decoroso di sei </w:t>
      </w:r>
      <w:r w:rsidR="00CD3515">
        <w:t>canonici</w:t>
      </w:r>
      <w:r>
        <w:t xml:space="preserve"> che dovevano fare vita comune per il servizio quotidiano del Coro e della Chiesa” </w:t>
      </w:r>
      <w:r>
        <w:rPr>
          <w:rStyle w:val="Caratteredellanota"/>
        </w:rPr>
        <w:footnoteReference w:id="9"/>
      </w:r>
    </w:p>
    <w:p w14:paraId="6E3D4016" w14:textId="77777777" w:rsidR="00A13ECD" w:rsidRDefault="00A13ECD">
      <w:pPr>
        <w:pStyle w:val="NormaleWeb"/>
        <w:jc w:val="both"/>
      </w:pPr>
      <w:r>
        <w:t xml:space="preserve">Da quel periodo, come sappiamo, abbiamo in forma continuativa i nominativi dei priori della chiesa </w:t>
      </w:r>
      <w:r w:rsidR="00130F70">
        <w:t>e</w:t>
      </w:r>
      <w:r>
        <w:t xml:space="preserve"> la certezza della presenza di un piccolo gruppo di </w:t>
      </w:r>
      <w:r w:rsidR="00CD3515">
        <w:t>canonici</w:t>
      </w:r>
      <w:r>
        <w:t>, sei appunto per l’esattezza, che già operavano al servizio della Basilica. Così come è certa la ratifica della chiesa col titolo di  Collegiata cioè come istituzione con un collegio presbiterale. Per l</w:t>
      </w:r>
      <w:r w:rsidR="008E63A9">
        <w:t>a</w:t>
      </w:r>
      <w:r>
        <w:t xml:space="preserve"> precisione l’elenco dei priori risale al 1044 e quello dei </w:t>
      </w:r>
      <w:r w:rsidR="00CD3515">
        <w:t>canonici</w:t>
      </w:r>
      <w:r>
        <w:t xml:space="preserve"> al 1094.</w:t>
      </w:r>
    </w:p>
    <w:p w14:paraId="3ED076B1" w14:textId="77777777" w:rsidR="00A13ECD" w:rsidRDefault="00A13ECD">
      <w:pPr>
        <w:pStyle w:val="NormaleWeb"/>
        <w:tabs>
          <w:tab w:val="left" w:pos="6300"/>
        </w:tabs>
        <w:spacing w:after="240"/>
        <w:jc w:val="both"/>
      </w:pPr>
      <w:r>
        <w:t xml:space="preserve">Risultano così riconosciuti, </w:t>
      </w:r>
      <w:r>
        <w:rPr>
          <w:i/>
        </w:rPr>
        <w:t>de jure</w:t>
      </w:r>
      <w:r>
        <w:t xml:space="preserve">, il Capitolo e, quindi, la Collegiata di S. Lorenzo, già di fatto esistenti, composta di sei </w:t>
      </w:r>
      <w:r w:rsidR="00CD3515">
        <w:t>canonici</w:t>
      </w:r>
      <w:r>
        <w:t xml:space="preserve">, con a capo il Rettore della Chiesa, col titolo di Priore. </w:t>
      </w:r>
      <w:r>
        <w:br/>
        <w:t xml:space="preserve">Con questo riconoscimento ufficiale della Collegiata, per opera di Niccolò II, inizia tutta la serie di atti di particolare benevolenza dei Sommi Pontefici </w:t>
      </w:r>
      <w:r>
        <w:rPr>
          <w:iCs/>
        </w:rPr>
        <w:t>ver</w:t>
      </w:r>
      <w:r>
        <w:t>so la Collegiata, di cui  si indicano i principali.</w:t>
      </w:r>
      <w:r>
        <w:br/>
        <w:t>Nell’anno 1143 Papa Innocenzo II “</w:t>
      </w:r>
      <w:r>
        <w:rPr>
          <w:i/>
        </w:rPr>
        <w:t>Aequitatis et justitiae ratio persuadet</w:t>
      </w:r>
      <w:r>
        <w:t xml:space="preserve">” l° maggio 1143 </w:t>
      </w:r>
      <w:r>
        <w:rPr>
          <w:rStyle w:val="Caratteredellanota"/>
        </w:rPr>
        <w:footnoteReference w:id="10"/>
      </w:r>
      <w:r>
        <w:t>prende la Chiesa di San Lorenzo sotto la sua tutela e sotto il patronato apostolico. Nell’anno 1177 Papa Alessandro III “</w:t>
      </w:r>
      <w:r>
        <w:rPr>
          <w:i/>
        </w:rPr>
        <w:t>Piae voluntatis postulatio</w:t>
      </w:r>
      <w:r>
        <w:t>” 28 novembre 1177</w:t>
      </w:r>
      <w:r>
        <w:rPr>
          <w:rStyle w:val="Caratteredellanota"/>
        </w:rPr>
        <w:footnoteReference w:id="11"/>
      </w:r>
      <w:r>
        <w:rPr>
          <w:i/>
          <w:iCs/>
        </w:rPr>
        <w:t xml:space="preserve">, </w:t>
      </w:r>
      <w:r>
        <w:t xml:space="preserve">concesse alla chiesa di S. Lorenzo il patronato delle chiese di S Andrea in Percussina e di S. Bartolomeo a Faltignano.               </w:t>
      </w:r>
      <w:r>
        <w:br/>
        <w:t>In seguito la Collegiata ebbe moltissimi altri patronati sia in diocesi di Firenze sia in altre diocesi, come Fiesole, Faenza, Modigliana come documentato del resto dalla preziosa indagine del Cianfogni nella sua monumentale opera</w:t>
      </w:r>
      <w:r>
        <w:rPr>
          <w:rStyle w:val="Caratteredellanota"/>
        </w:rPr>
        <w:footnoteReference w:id="12"/>
      </w:r>
      <w:r>
        <w:t>.</w:t>
      </w:r>
    </w:p>
    <w:p w14:paraId="5E6630F3" w14:textId="77777777" w:rsidR="00A13ECD" w:rsidRDefault="00A13ECD">
      <w:pPr>
        <w:pStyle w:val="NormaleWeb"/>
        <w:jc w:val="both"/>
      </w:pPr>
      <w:r>
        <w:lastRenderedPageBreak/>
        <w:t xml:space="preserve">Contestualmente, nell’Archivio Capitolare, troviamo la presenza degli atti amministrativi che certificano lo sviluppo feudale dalla Basilica con la crescita di donazioni di beni immobili, prebende, lasciti che confermano il sostegno economico  per le attività della Chiesa Laurenziana e di coloro che in forma permanente ne prestavano servizio pastorale come testimoniato dal lavoro di ricerca documentale del prof. William M. Bowsky </w:t>
      </w:r>
      <w:r>
        <w:rPr>
          <w:rStyle w:val="Caratteredellanota"/>
        </w:rPr>
        <w:footnoteReference w:id="13"/>
      </w:r>
    </w:p>
    <w:p w14:paraId="1170D384" w14:textId="77777777" w:rsidR="00A13ECD" w:rsidRDefault="00A13ECD">
      <w:pPr>
        <w:pStyle w:val="NormaleWeb"/>
        <w:jc w:val="both"/>
      </w:pPr>
      <w:r>
        <w:t>Un altro motivo di sviluppo che giustifica la presenza e l’azione coordinata e collegiale del clero laurenziano, consiste nello svilupp</w:t>
      </w:r>
      <w:r w:rsidR="00662012">
        <w:t>o territoriale della parrocchia, a</w:t>
      </w:r>
      <w:r>
        <w:t xml:space="preserve">nche se non è possibile, nonostante i molteplici studi, ricostruire con certezza i confini della realtà parrocchiale </w:t>
      </w:r>
      <w:r>
        <w:rPr>
          <w:rStyle w:val="Caratteredellanota"/>
        </w:rPr>
        <w:footnoteReference w:id="14"/>
      </w:r>
      <w:r>
        <w:t xml:space="preserve">. La sua collocazione apre un approfondimento sull’opera evangelizzatrice e la </w:t>
      </w:r>
      <w:r>
        <w:rPr>
          <w:i/>
        </w:rPr>
        <w:t>cura animarum</w:t>
      </w:r>
      <w:r>
        <w:t xml:space="preserve"> necessaria al territorio circostante la Basilica.  Proprio lo studio del Santi, riportato poco sopra in nota,  sugli insediamenti religiosi nella parrocchia di San Lorenzo nel periodo del basso medioevo, ci illustra l’importante nodo viario costituito dall’intersezione di due strade di collegamento fra la città e le zone circostanti. La prima è la via faentina che costituisce il </w:t>
      </w:r>
      <w:r>
        <w:rPr>
          <w:i/>
        </w:rPr>
        <w:t>cardo maximus</w:t>
      </w:r>
      <w:r>
        <w:t xml:space="preserve"> della centuriazione dell’agro fiorentino e che proprio attraverso il </w:t>
      </w:r>
      <w:r>
        <w:rPr>
          <w:i/>
        </w:rPr>
        <w:t>burgum  Sancti Laurentii</w:t>
      </w:r>
      <w:r>
        <w:t xml:space="preserve"> si raccorda al cardo massimo cittadino dando così vita al settore settentrionale del principale asse viario che attraversa longitudinalmente la città di Firenze. L’altra strada di comunicazione è risalente al I secolo e costituisce una sorta di deviazione dell’antica Cassia che aggirando la città da est incrociava la via faentina o meglio il suo prolungamento suburbano, la via Petrosa, proprio all’altezza di San Lorenzo e poi proseguendo verso occidente s</w:t>
      </w:r>
      <w:r w:rsidR="008E63A9">
        <w:t>’i</w:t>
      </w:r>
      <w:r>
        <w:t xml:space="preserve">ncontrava con quel raccordo alla </w:t>
      </w:r>
      <w:r>
        <w:rPr>
          <w:i/>
        </w:rPr>
        <w:t>Cassia nova</w:t>
      </w:r>
      <w:r>
        <w:t>, parallelo in gran parte all’acquedotto che puntando verso nord si ricongiungeva al tracciato pedemontano dell’antica strada romana</w:t>
      </w:r>
      <w:r>
        <w:rPr>
          <w:rStyle w:val="Caratteredellanota"/>
        </w:rPr>
        <w:footnoteReference w:id="15"/>
      </w:r>
      <w:r>
        <w:t xml:space="preserve">. Lo sviluppo edilizio della zona porterà ad una concentrazione di monasteri, conventi, oratori, sedi di confraternite e ospedali che non si è realizzata in nessuna parrocchia della città o dei dintorni. Tutto ciò giustifica ancora una volta la consacrazione del 1059 recuperando così spiritualmente, con il riconoscimento esplicito della comunità canonicale, </w:t>
      </w:r>
      <w:r w:rsidR="00130F70">
        <w:t>ed</w:t>
      </w:r>
      <w:r>
        <w:t xml:space="preserve"> economicamente, attraverso la dotazione di nuove proprietà, l'identità della Chiesa di San Lorenzo quale caposaldo della religiosità cittadina </w:t>
      </w:r>
      <w:r>
        <w:rPr>
          <w:rStyle w:val="Caratteredellanota"/>
        </w:rPr>
        <w:footnoteReference w:id="16"/>
      </w:r>
      <w:r>
        <w:t xml:space="preserve">. La Basilica ambrosiana si trovò così in posizione liminare: molto vicina alla </w:t>
      </w:r>
      <w:r>
        <w:rPr>
          <w:i/>
        </w:rPr>
        <w:t>civica vetus</w:t>
      </w:r>
      <w:r>
        <w:t xml:space="preserve"> e nel contempo proiettata verso il suburbio in cui si incunea attraverso il </w:t>
      </w:r>
      <w:r>
        <w:rPr>
          <w:i/>
        </w:rPr>
        <w:t>burgus</w:t>
      </w:r>
      <w:r>
        <w:t xml:space="preserve"> che si sviluppa lentamente nel corso dei secoli a partire dalla porta omonima aperta nella cinta nel 1171-72</w:t>
      </w:r>
      <w:r>
        <w:rPr>
          <w:rStyle w:val="Caratteredellanota"/>
        </w:rPr>
        <w:footnoteReference w:id="17"/>
      </w:r>
      <w:r>
        <w:t xml:space="preserve">. Nell’ottica di uno sviluppo edilizio che durerà per tutto il trecento vanno lette  le strenue battaglie che i </w:t>
      </w:r>
      <w:r w:rsidR="00CD3515">
        <w:t>Canonici</w:t>
      </w:r>
      <w:r>
        <w:t xml:space="preserve"> di San Lorenzo, guidati dai loro priori, combatteranno con alcune delle numerose nuove comunità religiose per non perdere il controllo del sempre più popoloso e vasto territorio e continuare a garantirne la supremazia parrocchiale. </w:t>
      </w:r>
    </w:p>
    <w:p w14:paraId="306F1E62" w14:textId="77777777" w:rsidR="00A13ECD" w:rsidRDefault="00A13ECD">
      <w:pPr>
        <w:pStyle w:val="NormaleWeb"/>
      </w:pPr>
    </w:p>
    <w:p w14:paraId="31ED6E9E" w14:textId="77777777" w:rsidR="00A13ECD" w:rsidRDefault="00A13ECD">
      <w:pPr>
        <w:pStyle w:val="NormaleWeb"/>
      </w:pPr>
      <w:r>
        <w:rPr>
          <w:b/>
        </w:rPr>
        <w:t>Le Costituzioni Capitolari della Basilica di San Lorenzo</w:t>
      </w:r>
    </w:p>
    <w:p w14:paraId="7CB97524" w14:textId="77777777" w:rsidR="00662012" w:rsidRDefault="00A13ECD">
      <w:pPr>
        <w:pStyle w:val="NormaleWeb"/>
        <w:jc w:val="both"/>
      </w:pPr>
      <w:r>
        <w:t>Se fino ad ora abbiamo considerato la presenza del Capitolo alla luce della lu</w:t>
      </w:r>
      <w:r w:rsidR="00662012">
        <w:t>nga e complessa evoluzione dell’</w:t>
      </w:r>
      <w:r>
        <w:t xml:space="preserve">organizzazione ecclesiastica dei primi secoli, adesso occorre focalizzare il suo ruolo ed i compiti specifici dei </w:t>
      </w:r>
      <w:r w:rsidR="00CD3515">
        <w:t>canonici</w:t>
      </w:r>
      <w:r>
        <w:t xml:space="preserve">.  </w:t>
      </w:r>
    </w:p>
    <w:p w14:paraId="71CFECCC" w14:textId="77777777" w:rsidR="00A13ECD" w:rsidRDefault="00A13ECD">
      <w:pPr>
        <w:pStyle w:val="NormaleWeb"/>
        <w:jc w:val="both"/>
        <w:rPr>
          <w:b/>
        </w:rPr>
      </w:pPr>
      <w:r>
        <w:t xml:space="preserve">Esaminando le Costituzioni Capitolari ci accorgiamo come esse rappresentano la cristallizzazione giuridica del Capitolo Laurenziano e quindi sono la base sicura per la nostra ricerca sul senso della sua esistenza e delle sue mansioni. Gli Statuti, o meglio dette Costituzioni, a nostra disposizione </w:t>
      </w:r>
      <w:r>
        <w:lastRenderedPageBreak/>
        <w:t>presso il cosiddetto Archivio Capitolare sono cinque</w:t>
      </w:r>
      <w:r>
        <w:rPr>
          <w:rStyle w:val="Caratteredellanota"/>
        </w:rPr>
        <w:footnoteReference w:id="18"/>
      </w:r>
      <w:r>
        <w:t xml:space="preserve">. I più antichi in manoscritto sono raccolti nel 1369 e già fanno emergere, nella loro sinteticità, le coordinate essenziali del ruolo e dei compiti dei </w:t>
      </w:r>
      <w:r w:rsidR="00CD3515">
        <w:t>Canonici</w:t>
      </w:r>
      <w:r>
        <w:t xml:space="preserve"> Laurenziani. Eppure si può documentare che i </w:t>
      </w:r>
      <w:r w:rsidR="00CD3515">
        <w:t>Canonici</w:t>
      </w:r>
      <w:r>
        <w:t xml:space="preserve"> erano governati da una costituzione formale almeno dal 7 maggio 1254. Una lettera con quella data con la quale il vescovo fiorentino Giovanni dei Mangiadori (1251-1274) assegnò a suo nipote Tribaldo un canonicato in San Lorenzo, include la frase “fatti salvi comunque lo statuto e le Costituzioni di quella canonica  - </w:t>
      </w:r>
      <w:r>
        <w:rPr>
          <w:i/>
        </w:rPr>
        <w:t xml:space="preserve">salvis tamen super hoc statuto et costitutionibus ipsius canonice et eorum </w:t>
      </w:r>
      <w:r>
        <w:t xml:space="preserve">-  </w:t>
      </w:r>
      <w:r>
        <w:rPr>
          <w:rStyle w:val="Caratteredellanota"/>
        </w:rPr>
        <w:footnoteReference w:id="19"/>
      </w:r>
      <w:r>
        <w:t>. Questa data manifesta un altro dato rilevante e costante, come vedremo in seguito, della volontà da parte del Capitolo Laurenziano di seguire pedissequamente il cammino giuridico ecclesiale in quanto tali codificazioni sono quasi immediatamente promulgate all’indomani del Concilio IV Lateranense del 1215 i cui canoni codificano in maniera chiara i compiti essenziali delle singole comunità cristiane e della vita sacramentale dei singoli cristiani.</w:t>
      </w:r>
    </w:p>
    <w:p w14:paraId="50BC3E93" w14:textId="77777777" w:rsidR="00A13ECD" w:rsidRDefault="00A13ECD">
      <w:pPr>
        <w:jc w:val="both"/>
        <w:rPr>
          <w:b/>
        </w:rPr>
      </w:pPr>
      <w:r>
        <w:rPr>
          <w:b/>
        </w:rPr>
        <w:t>Le prime Costituzioni</w:t>
      </w:r>
    </w:p>
    <w:p w14:paraId="60B97FF7" w14:textId="77777777" w:rsidR="00A13ECD" w:rsidRDefault="00A13ECD">
      <w:pPr>
        <w:jc w:val="both"/>
        <w:rPr>
          <w:b/>
        </w:rPr>
      </w:pPr>
    </w:p>
    <w:p w14:paraId="476F1C85" w14:textId="77777777" w:rsidR="00A13ECD" w:rsidRDefault="00A13ECD">
      <w:pPr>
        <w:jc w:val="both"/>
      </w:pPr>
      <w:r>
        <w:t xml:space="preserve">Le più antiche Costituzioni ancora esistenti, comunque, sono brevi e datano dal 21 maggio 1287. Il loro testo è compreso, come la prima rubrica, circa il numero di un priore e nove </w:t>
      </w:r>
      <w:r w:rsidR="00CD3515">
        <w:t>canonici</w:t>
      </w:r>
      <w:r>
        <w:t xml:space="preserve">, in due copie separate confluite in una unica redazione del 1369 </w:t>
      </w:r>
      <w:r>
        <w:rPr>
          <w:rStyle w:val="Caratteredellanota"/>
        </w:rPr>
        <w:footnoteReference w:id="20"/>
      </w:r>
      <w:r>
        <w:t xml:space="preserve">. Le Costituzioni definiscono il numero e i gradi ecclesiastici dei </w:t>
      </w:r>
      <w:r w:rsidR="00CD3515">
        <w:t>canonici</w:t>
      </w:r>
      <w:r>
        <w:t xml:space="preserve">, elencano le prebende degli allora titolari di tali benefici e si occupano di certe altre fonti di entrate. Esse includono gli atti di conferma da parte del vescovo Andrea dei Mozzi e, il 5 aprile 1291, del papa Niccolò IV. Raccolgono, inoltre, le istanze del clero parrocchiale così come descritte nel canone 21 del IV Concilio lateranense, dove emerge, innanzitutto, il riferimento liturgico e sacramentale dell’ufficio dei sacerdoti e dei </w:t>
      </w:r>
      <w:r w:rsidR="00CD3515">
        <w:t>canonici</w:t>
      </w:r>
      <w:r>
        <w:t xml:space="preserve"> in particolare come </w:t>
      </w:r>
      <w:r>
        <w:rPr>
          <w:i/>
        </w:rPr>
        <w:t>munus</w:t>
      </w:r>
      <w:r>
        <w:t xml:space="preserve"> della </w:t>
      </w:r>
      <w:r>
        <w:rPr>
          <w:i/>
        </w:rPr>
        <w:t>cura animarum</w:t>
      </w:r>
      <w:r>
        <w:t xml:space="preserve"> attraverso il sacramento della Eucarestia e della Penitenza. Non vi è ovviamente alcun riferimento al sacramento del Battesimo in quanto amministrato solo nel “bel San Giovanni”. Le Costituzioni raccolte nel 1369 fanno emergere il ruolo autoritativo del Capitolo nell’amministrazione dei sacramenti con particolare riferimento anche ai riti esequiali, all’epoca i più redditizi. Ruolo spesso egemone che diventerà in seguito di prestigio ma che recherà nel tempo qualche eccesso come ci ricorda il contenzioso e poi la degenerazione violenta dei </w:t>
      </w:r>
      <w:r w:rsidR="00CD3515">
        <w:t>canonici</w:t>
      </w:r>
      <w:r>
        <w:t xml:space="preserve"> laurenziani contro la comunità Armena </w:t>
      </w:r>
      <w:r>
        <w:rPr>
          <w:rStyle w:val="Caratteredellanota"/>
        </w:rPr>
        <w:footnoteReference w:id="21"/>
      </w:r>
      <w:r>
        <w:t xml:space="preserve">. Un altro elemento presente nelle Costituzioni trecentesche è l’indivisibilità tra </w:t>
      </w:r>
      <w:r>
        <w:rPr>
          <w:i/>
        </w:rPr>
        <w:t xml:space="preserve">ius </w:t>
      </w:r>
      <w:r w:rsidRPr="008E63A9">
        <w:rPr>
          <w:iCs/>
        </w:rPr>
        <w:t>par</w:t>
      </w:r>
      <w:r w:rsidR="008E63A9" w:rsidRPr="008E63A9">
        <w:rPr>
          <w:iCs/>
        </w:rPr>
        <w:t xml:space="preserve">rocchiale </w:t>
      </w:r>
      <w:r>
        <w:t xml:space="preserve">e Capitolo, come se, non solo la gestione sacramentale, ma anche quella amministrativa e pastorale della parrocchia, fossero condivise in maniera uniforme tra </w:t>
      </w:r>
      <w:r w:rsidR="00CD3515">
        <w:t>canonici</w:t>
      </w:r>
      <w:r>
        <w:t xml:space="preserve"> e priore. Un ultimo dato di rilievo emerge, infine, nel carattere sanzionatorio che le Costituzioni sottolineano per gli inadempimenti dei singoli </w:t>
      </w:r>
      <w:r w:rsidR="00CD3515">
        <w:t>canonici</w:t>
      </w:r>
      <w:r>
        <w:t xml:space="preserve"> nei loro doveri liturgici. </w:t>
      </w:r>
    </w:p>
    <w:p w14:paraId="0CA5E27A" w14:textId="77777777" w:rsidR="00A13ECD" w:rsidRDefault="00A13ECD">
      <w:pPr>
        <w:jc w:val="both"/>
      </w:pPr>
    </w:p>
    <w:p w14:paraId="52EE12B9" w14:textId="77777777" w:rsidR="00A13ECD" w:rsidRDefault="00A13ECD" w:rsidP="00130F70">
      <w:pPr>
        <w:tabs>
          <w:tab w:val="left" w:pos="6521"/>
        </w:tabs>
        <w:jc w:val="both"/>
        <w:rPr>
          <w:rFonts w:cs="AIIHDK+TimesNewRoman"/>
          <w:color w:val="000000"/>
        </w:rPr>
      </w:pPr>
      <w:r>
        <w:t>Non vi è riferimento alla vita comune, né alla coabitazione anche se non ci sentiamo di condividere le conclusioni del prof. Bowsky nella sua citata ricerca  - e alla quale volentieri rimandiamo - in quella miniera di informazioni che è l’Archivio Capitolare quando, citando diversi documenti, azzarda l’ipotesi che  la vita comune già ai tempi delle prime Costituzioni medievali fosse ormai un lontano ricordo</w:t>
      </w:r>
      <w:r>
        <w:rPr>
          <w:rStyle w:val="Caratteredellanota"/>
        </w:rPr>
        <w:footnoteReference w:id="22"/>
      </w:r>
      <w:r>
        <w:t xml:space="preserve">. Ci sentiamo invece di affermare ancora una volta che il percorso collegiale dell’amministrazione spirituale e materiale della Basilica, condiviso dal priore con i suoi </w:t>
      </w:r>
      <w:r w:rsidR="00CD3515">
        <w:t>canonici</w:t>
      </w:r>
      <w:r>
        <w:t xml:space="preserve">, continuò ad essere un obiettivo ben definito. Ciò, nonostante, la tendenza affermata dal Concilio Lateranense di una continua frantumazione dell’originaria impronta collegiale del presbiterio che portava avanti l’ideale del sacerdote “monasticizzato” i cui compiti principali diventavano la preghiera liturgica corale e la vita evangelica caratterizzata dal disprezzo per il mondo. Proprio qui si </w:t>
      </w:r>
      <w:r>
        <w:lastRenderedPageBreak/>
        <w:t>colloca l’originalità della permanenza del Capitolo Laurenziano come baluardo di una visione sacramentale del sacerdote sottratto al suo isolamento sacrale</w:t>
      </w:r>
      <w:r w:rsidR="00662012">
        <w:t>,</w:t>
      </w:r>
      <w:r>
        <w:t xml:space="preserve"> in uno sforzo di sintesi che trov</w:t>
      </w:r>
      <w:r w:rsidR="00662012">
        <w:t>ò</w:t>
      </w:r>
      <w:r>
        <w:t xml:space="preserve"> nel Capitolo e nei suoi atti comuni quotidiani, un baluardo della collegialità dell’epoca apostolica ripresa nella riforma gregoriana e, come abbiamo visto, in quella carolingia. Ci conforta in questa affermazione la consonanza col pensiero del Cianfogni e di altri studi </w:t>
      </w:r>
      <w:r>
        <w:rPr>
          <w:rStyle w:val="Caratteredellanota"/>
        </w:rPr>
        <w:footnoteReference w:id="23"/>
      </w:r>
      <w:r>
        <w:t>.</w:t>
      </w:r>
    </w:p>
    <w:p w14:paraId="12512A16" w14:textId="77777777" w:rsidR="00A13ECD" w:rsidRDefault="00A13ECD">
      <w:pPr>
        <w:jc w:val="both"/>
        <w:rPr>
          <w:rFonts w:cs="AIIHDK+TimesNewRoman"/>
          <w:color w:val="000000"/>
        </w:rPr>
      </w:pPr>
      <w:r>
        <w:rPr>
          <w:rFonts w:cs="AIIHDK+TimesNewRoman"/>
          <w:color w:val="000000"/>
        </w:rPr>
        <w:t xml:space="preserve">Del resto, la vita comunitaria del clero, che aveva preso come modello la vita degli apostoli con il Signore Gesù, favoriva lo svolgimento pratico della liturgia, perché la celebrazione esigeva la presenza, a intervalli frequenti durante la giornata, di parecchi ministri. </w:t>
      </w:r>
    </w:p>
    <w:p w14:paraId="4EC85087" w14:textId="77777777" w:rsidR="00A13ECD" w:rsidRDefault="00A13ECD">
      <w:pPr>
        <w:autoSpaceDE w:val="0"/>
        <w:jc w:val="both"/>
        <w:rPr>
          <w:rFonts w:cs="AIIHDK+TimesNewRoman"/>
          <w:color w:val="000000"/>
        </w:rPr>
      </w:pPr>
      <w:r>
        <w:rPr>
          <w:rFonts w:cs="AIIHDK+TimesNewRoman"/>
          <w:color w:val="000000"/>
        </w:rPr>
        <w:t xml:space="preserve">Il problema della vita comune del clero, come già accennato, </w:t>
      </w:r>
      <w:r w:rsidR="008E63A9">
        <w:rPr>
          <w:rFonts w:cs="AIIHDK+TimesNewRoman"/>
          <w:color w:val="000000"/>
        </w:rPr>
        <w:t>è</w:t>
      </w:r>
      <w:r>
        <w:rPr>
          <w:rFonts w:cs="AIIHDK+TimesNewRoman"/>
          <w:color w:val="000000"/>
        </w:rPr>
        <w:t xml:space="preserve"> complesso e merita ulteriori approfondimenti. È comunque assodato che si vollero sempre tener distinti </w:t>
      </w:r>
      <w:r>
        <w:rPr>
          <w:rFonts w:cs="AIIHHA+TimesNewRoman"/>
          <w:i/>
          <w:color w:val="000000"/>
        </w:rPr>
        <w:t xml:space="preserve">l'ordo monasticus </w:t>
      </w:r>
      <w:r>
        <w:rPr>
          <w:rFonts w:cs="AIIHDK+TimesNewRoman"/>
          <w:color w:val="000000"/>
        </w:rPr>
        <w:t xml:space="preserve">dall' </w:t>
      </w:r>
      <w:r>
        <w:rPr>
          <w:rFonts w:cs="AIIHHA+TimesNewRoman"/>
          <w:i/>
          <w:color w:val="000000"/>
        </w:rPr>
        <w:t>ordo canonicus.</w:t>
      </w:r>
      <w:r>
        <w:rPr>
          <w:rFonts w:cs="AIIHHA+TimesNewRoman"/>
          <w:color w:val="000000"/>
        </w:rPr>
        <w:t xml:space="preserve"> </w:t>
      </w:r>
    </w:p>
    <w:p w14:paraId="75C63045" w14:textId="77777777" w:rsidR="00A13ECD" w:rsidRDefault="00A13ECD">
      <w:pPr>
        <w:autoSpaceDE w:val="0"/>
        <w:jc w:val="both"/>
        <w:rPr>
          <w:rFonts w:cs="AIIHDK+TimesNewRoman"/>
          <w:color w:val="000000"/>
        </w:rPr>
      </w:pPr>
      <w:r>
        <w:rPr>
          <w:rFonts w:cs="AIIHDK+TimesNewRoman"/>
          <w:color w:val="000000"/>
        </w:rPr>
        <w:t xml:space="preserve">Gregorio Magno, infatti, aveva stabilito che la </w:t>
      </w:r>
      <w:r>
        <w:rPr>
          <w:rFonts w:cs="AIIHHA+TimesNewRoman"/>
          <w:i/>
          <w:color w:val="000000"/>
        </w:rPr>
        <w:t>militia clericatus</w:t>
      </w:r>
      <w:r>
        <w:rPr>
          <w:rFonts w:cs="AIIHHA+TimesNewRoman"/>
          <w:color w:val="000000"/>
        </w:rPr>
        <w:t xml:space="preserve"> </w:t>
      </w:r>
      <w:r>
        <w:rPr>
          <w:rFonts w:cs="AIIHDK+TimesNewRoman"/>
          <w:color w:val="000000"/>
        </w:rPr>
        <w:t xml:space="preserve">fosse distinta </w:t>
      </w:r>
      <w:r>
        <w:rPr>
          <w:rFonts w:cs="AIIHHA+TimesNewRoman"/>
          <w:color w:val="000000"/>
        </w:rPr>
        <w:t xml:space="preserve">dalla </w:t>
      </w:r>
      <w:r>
        <w:rPr>
          <w:rFonts w:cs="AIIHHA+TimesNewRoman"/>
          <w:i/>
          <w:color w:val="000000"/>
        </w:rPr>
        <w:t>professio</w:t>
      </w:r>
      <w:r>
        <w:rPr>
          <w:rFonts w:cs="AIIHHA+TimesNewRoman"/>
          <w:color w:val="000000"/>
        </w:rPr>
        <w:t xml:space="preserve"> monastica </w:t>
      </w:r>
      <w:r>
        <w:rPr>
          <w:rStyle w:val="Caratteredellanota"/>
          <w:rFonts w:cs="AIIHHA+TimesNewRoman"/>
          <w:color w:val="000000"/>
        </w:rPr>
        <w:footnoteReference w:id="24"/>
      </w:r>
      <w:r>
        <w:rPr>
          <w:rFonts w:cs="AIIHHA+TimesNewRoman"/>
          <w:color w:val="000000"/>
        </w:rPr>
        <w:t xml:space="preserve">, </w:t>
      </w:r>
      <w:r>
        <w:rPr>
          <w:rFonts w:cs="AIIHDK+TimesNewRoman"/>
          <w:color w:val="000000"/>
        </w:rPr>
        <w:t xml:space="preserve">in modo che i monaci potessero vivere in tranquillità e completo isolamento, mentre i chierici della cattedrale o delle collegiate avevano varie incombenze come l'amministrazione del patrimonio ecclesiastico, la formazione del clero, l'esercizio del potere giudiziario nei riguardi delle persone soggette e, soprattutto, l'ufficiatura liturgica quotidiana. </w:t>
      </w:r>
    </w:p>
    <w:p w14:paraId="4F36B01E" w14:textId="77777777" w:rsidR="00A13ECD" w:rsidRDefault="00A13ECD">
      <w:pPr>
        <w:pStyle w:val="NormaleWeb"/>
        <w:jc w:val="both"/>
        <w:rPr>
          <w:rFonts w:cs="AIIHDK+TimesNewRoman"/>
          <w:color w:val="000000"/>
        </w:rPr>
      </w:pPr>
      <w:r>
        <w:rPr>
          <w:rFonts w:cs="AIIHDK+TimesNewRoman"/>
          <w:color w:val="000000"/>
        </w:rPr>
        <w:t xml:space="preserve">A suffragio di quanto finora detto è sufficiente ricordare nelle Costituzioni del 1369 il compito del cuoco e della cucina, oppure i compiti liturgici remunerati col pane o con la cera che poi venivano distribuiti tra il  </w:t>
      </w:r>
      <w:r w:rsidR="00CD3515">
        <w:rPr>
          <w:rFonts w:cs="AIIHDK+TimesNewRoman"/>
          <w:color w:val="000000"/>
        </w:rPr>
        <w:t>priore e i canonici</w:t>
      </w:r>
      <w:r>
        <w:rPr>
          <w:rFonts w:cs="AIIHDK+TimesNewRoman"/>
          <w:color w:val="000000"/>
        </w:rPr>
        <w:t xml:space="preserve"> secondo una codificata regolamentazione. Inoltre occorr</w:t>
      </w:r>
      <w:r w:rsidR="00CD3515">
        <w:rPr>
          <w:rFonts w:cs="AIIHDK+TimesNewRoman"/>
          <w:color w:val="000000"/>
        </w:rPr>
        <w:t>e menzionare l’istituzione del c</w:t>
      </w:r>
      <w:r>
        <w:rPr>
          <w:rFonts w:cs="AIIHDK+TimesNewRoman"/>
          <w:color w:val="000000"/>
        </w:rPr>
        <w:t xml:space="preserve">anonico </w:t>
      </w:r>
      <w:r w:rsidR="00CD3515">
        <w:rPr>
          <w:rFonts w:cs="AIIHDK+TimesNewRoman"/>
          <w:color w:val="000000"/>
        </w:rPr>
        <w:t>s</w:t>
      </w:r>
      <w:r>
        <w:rPr>
          <w:rFonts w:cs="AIIHDK+TimesNewRoman"/>
          <w:i/>
          <w:color w:val="000000"/>
        </w:rPr>
        <w:t>anitore</w:t>
      </w:r>
      <w:r>
        <w:rPr>
          <w:rFonts w:cs="AIIHDK+TimesNewRoman"/>
          <w:color w:val="000000"/>
        </w:rPr>
        <w:t xml:space="preserve"> (siamo al tempo della peste nera) che provvedeva all’ottemperanza delle leggi sanitarie conosciute all’epoca per scongiurare epidemie ed infestazioni negli ambienti comuni.</w:t>
      </w:r>
    </w:p>
    <w:p w14:paraId="000F3BB4" w14:textId="77777777" w:rsidR="00A13ECD" w:rsidRDefault="00A13ECD">
      <w:pPr>
        <w:pStyle w:val="NormaleWeb"/>
        <w:jc w:val="both"/>
        <w:rPr>
          <w:rFonts w:cs="AIIHDK+TimesNewRoman"/>
          <w:color w:val="000000"/>
        </w:rPr>
      </w:pPr>
      <w:r>
        <w:rPr>
          <w:rFonts w:cs="AIIHDK+TimesNewRoman"/>
          <w:color w:val="000000"/>
        </w:rPr>
        <w:t xml:space="preserve">Infine è contemplata la figura del responsabile delle camere, </w:t>
      </w:r>
      <w:r w:rsidR="00CD3515">
        <w:rPr>
          <w:rFonts w:cs="AIIHDK+TimesNewRoman"/>
          <w:i/>
          <w:color w:val="000000"/>
        </w:rPr>
        <w:t>c</w:t>
      </w:r>
      <w:r>
        <w:rPr>
          <w:rFonts w:cs="AIIHDK+TimesNewRoman"/>
          <w:i/>
          <w:color w:val="000000"/>
        </w:rPr>
        <w:t>amerarius</w:t>
      </w:r>
      <w:r>
        <w:rPr>
          <w:rFonts w:cs="AIIHDK+TimesNewRoman"/>
          <w:color w:val="000000"/>
        </w:rPr>
        <w:t xml:space="preserve">, oppure successivamente chiamato </w:t>
      </w:r>
      <w:r w:rsidR="00CD3515">
        <w:rPr>
          <w:rFonts w:cs="AIIHDK+TimesNewRoman"/>
          <w:color w:val="000000"/>
        </w:rPr>
        <w:t>p</w:t>
      </w:r>
      <w:r>
        <w:rPr>
          <w:rFonts w:cs="AIIHDK+TimesNewRoman"/>
          <w:i/>
          <w:color w:val="000000"/>
        </w:rPr>
        <w:t>rovisores,</w:t>
      </w:r>
      <w:r>
        <w:rPr>
          <w:rFonts w:cs="AIIHDK+TimesNewRoman"/>
          <w:color w:val="000000"/>
        </w:rPr>
        <w:t xml:space="preserve"> sia per la loro manutenzione che la loro assegnazione. Le camere sono già def</w:t>
      </w:r>
      <w:r w:rsidR="00CD3515">
        <w:rPr>
          <w:rFonts w:cs="AIIHDK+TimesNewRoman"/>
          <w:color w:val="000000"/>
        </w:rPr>
        <w:t>inite “stanze nel chiostro dei canonici</w:t>
      </w:r>
      <w:r>
        <w:rPr>
          <w:rFonts w:cs="AIIHDK+TimesNewRoman"/>
          <w:color w:val="000000"/>
        </w:rPr>
        <w:t xml:space="preserve">”. Tutte indicazioni che fanno credere ad una sorte di vita comune o almeno di una parte di essa. Nelle suddette Costituzioni </w:t>
      </w:r>
      <w:r w:rsidR="00CD3515">
        <w:rPr>
          <w:rFonts w:cs="AIIHDK+TimesNewRoman"/>
          <w:color w:val="000000"/>
        </w:rPr>
        <w:t>troviamo già l’elenco di dieci canonici</w:t>
      </w:r>
      <w:r>
        <w:rPr>
          <w:rFonts w:cs="AIIHDK+TimesNewRoman"/>
          <w:color w:val="000000"/>
        </w:rPr>
        <w:t xml:space="preserve"> col </w:t>
      </w:r>
      <w:r w:rsidR="00CD3515">
        <w:rPr>
          <w:rFonts w:cs="AIIHDK+TimesNewRoman"/>
          <w:color w:val="000000"/>
        </w:rPr>
        <w:t>p</w:t>
      </w:r>
      <w:r>
        <w:rPr>
          <w:rFonts w:cs="AIIHDK+TimesNewRoman"/>
          <w:color w:val="000000"/>
        </w:rPr>
        <w:t>riore ch</w:t>
      </w:r>
      <w:r w:rsidR="00CD3515">
        <w:rPr>
          <w:rFonts w:cs="AIIHDK+TimesNewRoman"/>
          <w:color w:val="000000"/>
        </w:rPr>
        <w:t>e l’elenco di sette c</w:t>
      </w:r>
      <w:r>
        <w:rPr>
          <w:rFonts w:cs="AIIHDK+TimesNewRoman"/>
          <w:color w:val="000000"/>
        </w:rPr>
        <w:t xml:space="preserve">appellani. Nel volume delle Costituzioni del 1369 troviamo numerose aggiunte o variazioni - tuttavia di relativa importanza - nel 1382, nel 1388 e l’anno successivo, nel 1429, nel 1432 ed infine nel 1445 </w:t>
      </w:r>
      <w:r>
        <w:rPr>
          <w:rStyle w:val="Caratteredellanota"/>
          <w:rFonts w:cs="AIIHDK+TimesNewRoman"/>
          <w:color w:val="000000"/>
        </w:rPr>
        <w:footnoteReference w:id="25"/>
      </w:r>
      <w:r>
        <w:rPr>
          <w:rFonts w:cs="AIIHDK+TimesNewRoman"/>
          <w:color w:val="000000"/>
        </w:rPr>
        <w:t xml:space="preserve">. </w:t>
      </w:r>
    </w:p>
    <w:p w14:paraId="637222D5" w14:textId="77777777" w:rsidR="00A13ECD" w:rsidRDefault="00A13ECD">
      <w:pPr>
        <w:pStyle w:val="NormaleWeb"/>
        <w:jc w:val="both"/>
        <w:rPr>
          <w:rFonts w:cs="AIIHDK+TimesNewRoman"/>
          <w:color w:val="000000"/>
        </w:rPr>
      </w:pPr>
      <w:r>
        <w:rPr>
          <w:rFonts w:cs="AIIHDK+TimesNewRoman"/>
          <w:color w:val="000000"/>
        </w:rPr>
        <w:t>Nonostante tali variazioni resta valido l’impia</w:t>
      </w:r>
      <w:r w:rsidR="00CD3515">
        <w:rPr>
          <w:rFonts w:cs="AIIHDK+TimesNewRoman"/>
          <w:color w:val="000000"/>
        </w:rPr>
        <w:t>nto di base della presenza dei canonici</w:t>
      </w:r>
      <w:r>
        <w:rPr>
          <w:rFonts w:cs="AIIHDK+TimesNewRoman"/>
          <w:color w:val="000000"/>
        </w:rPr>
        <w:t xml:space="preserve"> e del loro scopo con puntuali compiti relativi alla </w:t>
      </w:r>
      <w:r>
        <w:rPr>
          <w:rFonts w:cs="AIIHDK+TimesNewRoman"/>
          <w:i/>
          <w:color w:val="000000"/>
        </w:rPr>
        <w:t>cura animarum</w:t>
      </w:r>
      <w:r>
        <w:rPr>
          <w:rFonts w:cs="AIIHDK+TimesNewRoman"/>
          <w:color w:val="000000"/>
        </w:rPr>
        <w:t xml:space="preserve"> della</w:t>
      </w:r>
      <w:r w:rsidR="00CD3515">
        <w:rPr>
          <w:rFonts w:cs="AIIHDK+TimesNewRoman"/>
          <w:color w:val="000000"/>
        </w:rPr>
        <w:t xml:space="preserve"> parrocchia. Sono contemplati ventisei</w:t>
      </w:r>
      <w:r>
        <w:rPr>
          <w:rFonts w:cs="AIIHDK+TimesNewRoman"/>
          <w:color w:val="000000"/>
        </w:rPr>
        <w:t xml:space="preserve"> giorni di festa durante i quali dovevano essere celebrati gli uffici divini in forma solenne, non dimenticando </w:t>
      </w:r>
      <w:r w:rsidR="00130F70">
        <w:rPr>
          <w:rFonts w:cs="AIIHDK+TimesNewRoman"/>
          <w:color w:val="000000"/>
        </w:rPr>
        <w:t>addirittura</w:t>
      </w:r>
      <w:r>
        <w:rPr>
          <w:rFonts w:cs="AIIHDK+TimesNewRoman"/>
          <w:color w:val="000000"/>
        </w:rPr>
        <w:t xml:space="preserve"> di citare la foggia sontuosa dell’abito corale indossata dai </w:t>
      </w:r>
      <w:r w:rsidR="00CD3515">
        <w:rPr>
          <w:rFonts w:cs="AIIHDK+TimesNewRoman"/>
          <w:color w:val="000000"/>
        </w:rPr>
        <w:t>canonici</w:t>
      </w:r>
      <w:r>
        <w:rPr>
          <w:rFonts w:cs="AIIHDK+TimesNewRoman"/>
          <w:color w:val="000000"/>
        </w:rPr>
        <w:t xml:space="preserve">. </w:t>
      </w:r>
    </w:p>
    <w:p w14:paraId="2CAF394C" w14:textId="77777777" w:rsidR="00A13ECD" w:rsidRDefault="00A13ECD">
      <w:pPr>
        <w:pStyle w:val="NormaleWeb"/>
        <w:jc w:val="both"/>
        <w:rPr>
          <w:rFonts w:cs="AIIHDK+TimesNewRoman"/>
          <w:color w:val="000000"/>
        </w:rPr>
      </w:pPr>
      <w:r>
        <w:rPr>
          <w:rFonts w:cs="AIIHDK+TimesNewRoman"/>
          <w:color w:val="000000"/>
        </w:rPr>
        <w:t xml:space="preserve">I </w:t>
      </w:r>
      <w:r w:rsidR="00CD3515">
        <w:rPr>
          <w:rFonts w:cs="AIIHDK+TimesNewRoman"/>
          <w:color w:val="000000"/>
        </w:rPr>
        <w:t>canonici</w:t>
      </w:r>
      <w:r>
        <w:rPr>
          <w:rFonts w:cs="AIIHDK+TimesNewRoman"/>
          <w:color w:val="000000"/>
        </w:rPr>
        <w:t xml:space="preserve"> erano obbligati a cantare ogni giorno tre distin</w:t>
      </w:r>
      <w:r w:rsidR="00CD3515">
        <w:rPr>
          <w:rFonts w:cs="AIIHDK+TimesNewRoman"/>
          <w:color w:val="000000"/>
        </w:rPr>
        <w:t>te Messe mattutine prima della M</w:t>
      </w:r>
      <w:r>
        <w:rPr>
          <w:rFonts w:cs="AIIHDK+TimesNewRoman"/>
          <w:color w:val="000000"/>
        </w:rPr>
        <w:t xml:space="preserve">essa conventuale (capitolare), quella che proprio le Costituzioni chiamano “messa della gente”. Era a questa celebrazione che ai fedeli doveva essere offerta in adorazione l’Ostia al momento della elevazione. Per i vari servizi liturgici e pastorali i laici offrivano, come già accennato, denaro (erano tuttavia esclusi i più poveri), pane, vino, cera e altri oggetti per i chierici o per la chiesa. Il compenso variava in base all’orario delle stesse funzioni. Le Costituzioni del 1369 parlano </w:t>
      </w:r>
      <w:r w:rsidR="00130F70">
        <w:rPr>
          <w:rFonts w:cs="AIIHDK+TimesNewRoman"/>
          <w:color w:val="000000"/>
        </w:rPr>
        <w:t>pure</w:t>
      </w:r>
      <w:r>
        <w:rPr>
          <w:rFonts w:cs="AIIHDK+TimesNewRoman"/>
          <w:color w:val="000000"/>
        </w:rPr>
        <w:t xml:space="preserve"> di un altro tipo </w:t>
      </w:r>
      <w:r>
        <w:rPr>
          <w:rFonts w:cs="AIIHDK+TimesNewRoman"/>
          <w:color w:val="000000"/>
        </w:rPr>
        <w:lastRenderedPageBreak/>
        <w:t xml:space="preserve">di offerte diverse dalle precedenti, si tratta di lasciti e donazioni in favore della Basilica o a singoli </w:t>
      </w:r>
      <w:r w:rsidR="00CD3515">
        <w:rPr>
          <w:rFonts w:cs="AIIHDK+TimesNewRoman"/>
          <w:color w:val="000000"/>
        </w:rPr>
        <w:t>canonici</w:t>
      </w:r>
      <w:r>
        <w:rPr>
          <w:rFonts w:cs="AIIHDK+TimesNewRoman"/>
          <w:color w:val="000000"/>
        </w:rPr>
        <w:t xml:space="preserve">. </w:t>
      </w:r>
    </w:p>
    <w:p w14:paraId="5935D9A5" w14:textId="77777777" w:rsidR="00A13ECD" w:rsidRDefault="00A13ECD">
      <w:pPr>
        <w:pStyle w:val="NormaleWeb"/>
        <w:jc w:val="both"/>
        <w:rPr>
          <w:rFonts w:cs="AIIHDK+TimesNewRoman"/>
          <w:b/>
          <w:color w:val="000000"/>
        </w:rPr>
      </w:pPr>
      <w:r>
        <w:rPr>
          <w:rFonts w:cs="AIIHDK+TimesNewRoman"/>
          <w:color w:val="000000"/>
        </w:rPr>
        <w:t>Le confessioni e, perfino, il sacramento della Comunione sacramentale potevano essere officiati secondo la comodità di un singolo parrocchiano. Sono codificate le Messe matrimoniali con il loro compenso così come il rito della purificazione dopo il parto. Grande spazio è occupato invece dalla descrizione delle preghiere di suffragio per i defunti ed i funerali. Invece una novità assoluta per la Basilica di San Lorenzo è la presenza della rubrica per l’offerta “per il purgatorio”.  Essa si riferisce, afferma il Cianfogni, ad un documento del 1338 dov’è assicurata una speciale indulgenza nel giorno di mercoledì ritenuto il giorno della morte di San Lorenzo</w:t>
      </w:r>
      <w:r>
        <w:rPr>
          <w:rStyle w:val="Caratteredellanota"/>
          <w:rFonts w:cs="AIIHDK+TimesNewRoman"/>
          <w:color w:val="000000"/>
        </w:rPr>
        <w:footnoteReference w:id="26"/>
      </w:r>
      <w:r>
        <w:rPr>
          <w:rFonts w:cs="AIIHDK+TimesNewRoman"/>
          <w:color w:val="000000"/>
        </w:rPr>
        <w:t xml:space="preserve"> Sembra che questa tradizione attecchì immediatamente nel popolo che conveniva numeroso in quel giorno diventato, poi, il giorno scelto per il mercato settimanale. Nella chiesa fu eretto un altare adornato con una rappresentazione di San Lorenzo che scende in Purgatorio per liberarne le anime e condurle in Paradiso. Questo altare esiste ancora oggi anche se riedificato con la costruzione della Basilica rinascimentale.</w:t>
      </w:r>
    </w:p>
    <w:p w14:paraId="01EB8243" w14:textId="77777777" w:rsidR="00A13ECD" w:rsidRDefault="00A13ECD">
      <w:pPr>
        <w:pStyle w:val="NormaleWeb"/>
        <w:jc w:val="both"/>
        <w:rPr>
          <w:rFonts w:cs="AIIHDK+TimesNewRoman"/>
          <w:color w:val="000000"/>
        </w:rPr>
      </w:pPr>
      <w:r>
        <w:rPr>
          <w:rFonts w:cs="AIIHDK+TimesNewRoman"/>
          <w:b/>
          <w:color w:val="000000"/>
        </w:rPr>
        <w:t>Le Costituzioni Capitolari del 1566</w:t>
      </w:r>
    </w:p>
    <w:p w14:paraId="42F0E65C" w14:textId="77777777" w:rsidR="00A13ECD" w:rsidRDefault="00A13ECD">
      <w:pPr>
        <w:pStyle w:val="NormaleWeb"/>
        <w:jc w:val="both"/>
        <w:rPr>
          <w:rFonts w:cs="AIIHDK+TimesNewRoman"/>
          <w:color w:val="000000"/>
        </w:rPr>
      </w:pPr>
      <w:r>
        <w:rPr>
          <w:rFonts w:cs="AIIHDK+TimesNewRoman"/>
          <w:color w:val="000000"/>
        </w:rPr>
        <w:t>Il quattrocento e il cinquecento  rappresentano i secoli d’oro della città di Firenze e di conseguenza della Chiesa di San Lorenzo. Il grande rinnovamento culturale denominato “rinascimento” investì completamente il  complesso la</w:t>
      </w:r>
      <w:r w:rsidR="00130F70">
        <w:rPr>
          <w:rFonts w:cs="AIIHDK+TimesNewRoman"/>
          <w:color w:val="000000"/>
        </w:rPr>
        <w:t xml:space="preserve">urenziano tanto da determinare </w:t>
      </w:r>
      <w:r>
        <w:rPr>
          <w:rFonts w:cs="AIIHDK+TimesNewRoman"/>
          <w:color w:val="000000"/>
        </w:rPr>
        <w:t xml:space="preserve"> l’atterramento dell’antica  Basilica medievale e la costruzione dell’attuale terza su modello di Filippo Brunelleschi. </w:t>
      </w:r>
      <w:r w:rsidR="00CD3515">
        <w:rPr>
          <w:rFonts w:cs="AIIHDK+TimesNewRoman"/>
          <w:color w:val="000000"/>
        </w:rPr>
        <w:t>Così</w:t>
      </w:r>
      <w:r>
        <w:rPr>
          <w:rFonts w:cs="AIIHDK+TimesNewRoman"/>
          <w:color w:val="000000"/>
        </w:rPr>
        <w:t xml:space="preserve"> la vita del Capitolo subì notevoli cambiamenti. Le numerose aggiunte e modifiche alle Costituzioni trecentesche rivelano i tentativi di adeguamento al cambiamento dei tempi. La Basilica, come sappiamo, diventa la </w:t>
      </w:r>
      <w:r w:rsidR="00CD3515">
        <w:rPr>
          <w:rFonts w:cs="AIIHDK+TimesNewRoman"/>
          <w:color w:val="000000"/>
        </w:rPr>
        <w:t>c</w:t>
      </w:r>
      <w:r>
        <w:rPr>
          <w:rFonts w:cs="AIIHDK+TimesNewRoman"/>
          <w:color w:val="000000"/>
        </w:rPr>
        <w:t xml:space="preserve">hiesa di riferimento - quasi una cappella di famiglia - della </w:t>
      </w:r>
      <w:r w:rsidR="00CD3515">
        <w:rPr>
          <w:rFonts w:cs="AIIHDK+TimesNewRoman"/>
          <w:color w:val="000000"/>
        </w:rPr>
        <w:t>c</w:t>
      </w:r>
      <w:r>
        <w:rPr>
          <w:rFonts w:cs="AIIHDK+TimesNewRoman"/>
          <w:color w:val="000000"/>
        </w:rPr>
        <w:t>asata Medici che tra alti e bassi segnerà la storia fiorentina fino agli inizi del XVIII secolo. Una interessante lettura del periodo in questione è l’opera monografica, frutto di un importante convegno di studi sull’evoluzione del Capitolo Laurenziano in quegli anni alla quale volentieri rimando per le tante preziose notizie e la serietà dell</w:t>
      </w:r>
      <w:r w:rsidR="008E63A9">
        <w:rPr>
          <w:rFonts w:cs="AIIHDK+TimesNewRoman"/>
          <w:color w:val="000000"/>
        </w:rPr>
        <w:t>a</w:t>
      </w:r>
      <w:r>
        <w:rPr>
          <w:rFonts w:cs="AIIHDK+TimesNewRoman"/>
          <w:color w:val="000000"/>
        </w:rPr>
        <w:t xml:space="preserve"> ricerca svolta </w:t>
      </w:r>
      <w:r>
        <w:rPr>
          <w:rStyle w:val="Caratteredellanota"/>
          <w:rFonts w:cs="AIIHDK+TimesNewRoman"/>
          <w:color w:val="000000"/>
        </w:rPr>
        <w:footnoteReference w:id="27"/>
      </w:r>
      <w:r>
        <w:rPr>
          <w:rFonts w:cs="AIIHDK+TimesNewRoman"/>
          <w:color w:val="000000"/>
        </w:rPr>
        <w:t>.</w:t>
      </w:r>
    </w:p>
    <w:p w14:paraId="2EC21CBC" w14:textId="77777777" w:rsidR="00A13ECD" w:rsidRDefault="00A13ECD">
      <w:pPr>
        <w:pStyle w:val="NormaleWeb"/>
        <w:jc w:val="both"/>
        <w:rPr>
          <w:rFonts w:cs="AIIHDK+TimesNewRoman"/>
          <w:color w:val="000000"/>
        </w:rPr>
      </w:pPr>
      <w:r>
        <w:rPr>
          <w:rFonts w:cs="AIIHDK+TimesNewRoman"/>
          <w:color w:val="000000"/>
        </w:rPr>
        <w:t>La nostra indagine non può che concentrarsi, invece, su una breve analisi dell</w:t>
      </w:r>
      <w:r w:rsidR="008D00C3">
        <w:rPr>
          <w:rFonts w:cs="AIIHDK+TimesNewRoman"/>
          <w:color w:val="000000"/>
        </w:rPr>
        <w:t>e</w:t>
      </w:r>
      <w:r>
        <w:rPr>
          <w:rFonts w:cs="AIIHDK+TimesNewRoman"/>
          <w:color w:val="000000"/>
        </w:rPr>
        <w:t xml:space="preserve"> nuove Costituzioni del tempo. Esse si presentano con una pregevole edizione ricca di stampe originali del 1566 composta di cinquantadue capitoli </w:t>
      </w:r>
      <w:r>
        <w:rPr>
          <w:rStyle w:val="Caratteredellanota"/>
          <w:rFonts w:cs="AIIHDK+TimesNewRoman"/>
          <w:color w:val="000000"/>
        </w:rPr>
        <w:footnoteReference w:id="28"/>
      </w:r>
      <w:r>
        <w:rPr>
          <w:rFonts w:cs="AIIHDK+TimesNewRoman"/>
          <w:color w:val="000000"/>
        </w:rPr>
        <w:t xml:space="preserve">. Vengono promulgate all’indomani del grande Concilio riformatore svoltosi a Trento (1545-1563) </w:t>
      </w:r>
      <w:r w:rsidR="00CD3515">
        <w:rPr>
          <w:rFonts w:cs="AIIHDK+TimesNewRoman"/>
          <w:color w:val="000000"/>
        </w:rPr>
        <w:t>ma</w:t>
      </w:r>
      <w:r>
        <w:rPr>
          <w:rFonts w:cs="AIIHDK+TimesNewRoman"/>
          <w:color w:val="000000"/>
        </w:rPr>
        <w:t xml:space="preserve"> se saranno le aggiunte del 1617 a recepirne definitivamente lo spirito e a riportarne alcuni singoli canoni disciplinari</w:t>
      </w:r>
      <w:r>
        <w:rPr>
          <w:rStyle w:val="Caratteredellanota"/>
          <w:rFonts w:cs="AIIHDK+TimesNewRoman"/>
          <w:color w:val="000000"/>
        </w:rPr>
        <w:footnoteReference w:id="29"/>
      </w:r>
      <w:r>
        <w:rPr>
          <w:rFonts w:cs="AIIHDK+TimesNewRoman"/>
          <w:color w:val="000000"/>
        </w:rPr>
        <w:t xml:space="preserve"> </w:t>
      </w:r>
      <w:r w:rsidR="00CD3515">
        <w:rPr>
          <w:rFonts w:cs="AIIHDK+TimesNewRoman"/>
          <w:color w:val="000000"/>
        </w:rPr>
        <w:t>E’</w:t>
      </w:r>
      <w:r>
        <w:rPr>
          <w:rFonts w:cs="AIIHDK+TimesNewRoman"/>
          <w:color w:val="000000"/>
        </w:rPr>
        <w:t xml:space="preserve"> innegabile che queste Costituzioni rinascimentali diventano per il Capitolo la </w:t>
      </w:r>
      <w:r>
        <w:rPr>
          <w:rFonts w:cs="AIIHDK+TimesNewRoman"/>
          <w:i/>
          <w:color w:val="000000"/>
        </w:rPr>
        <w:t>Magna Charta</w:t>
      </w:r>
      <w:r>
        <w:rPr>
          <w:rFonts w:cs="AIIHDK+TimesNewRoman"/>
          <w:color w:val="000000"/>
        </w:rPr>
        <w:t xml:space="preserve"> della vita, dell’identità, dei ruoli,  non solo dei  singoli </w:t>
      </w:r>
      <w:r w:rsidR="00CD3515">
        <w:rPr>
          <w:rFonts w:cs="AIIHDK+TimesNewRoman"/>
          <w:color w:val="000000"/>
        </w:rPr>
        <w:t>canonici</w:t>
      </w:r>
      <w:r>
        <w:rPr>
          <w:rFonts w:cs="AIIHDK+TimesNewRoman"/>
          <w:color w:val="000000"/>
        </w:rPr>
        <w:t xml:space="preserve">, ma di tutto il complesso laurenziano garantendone il cammino per diversi secoli. Colpiscono oltre che per l’elegante veste grafica soprattutto per la corposità (sono ben 183 pagine). La codificazione così estesa fa comprendere immediatamente al lettore le molteplici e numerose mansioni che il Capitolo rivestiva in quel periodo aureo. </w:t>
      </w:r>
    </w:p>
    <w:p w14:paraId="67D52373" w14:textId="77777777" w:rsidR="00A13ECD" w:rsidRDefault="00A13ECD">
      <w:pPr>
        <w:pStyle w:val="NormaleWeb"/>
        <w:jc w:val="both"/>
        <w:rPr>
          <w:rFonts w:cs="AIIHDK+TimesNewRoman"/>
          <w:color w:val="000000"/>
        </w:rPr>
      </w:pPr>
      <w:r>
        <w:rPr>
          <w:rFonts w:cs="AIIHDK+TimesNewRoman"/>
          <w:color w:val="000000"/>
        </w:rPr>
        <w:t xml:space="preserve">Con la lettera del 20 agosto 1562, il Capitolo della Basilica di San Lorenzo inviava al previo beneplacito del Granduca Cosimo I, il testo delle nuove Costituzioni, onde mandarle poi all’Arcivescovo di Firenze per la definitiva approvazione. Il Granduca affidava l’incarico di revisionare il progetto a Monsignor Vincenzo Maria Borghini, Ospedalingo di Santa Maria </w:t>
      </w:r>
      <w:r>
        <w:rPr>
          <w:rFonts w:cs="AIIHDK+TimesNewRoman"/>
          <w:color w:val="000000"/>
        </w:rPr>
        <w:lastRenderedPageBreak/>
        <w:t>de</w:t>
      </w:r>
      <w:r w:rsidR="00CD3515">
        <w:rPr>
          <w:rFonts w:cs="AIIHDK+TimesNewRoman"/>
          <w:color w:val="000000"/>
        </w:rPr>
        <w:t>gl’</w:t>
      </w:r>
      <w:r>
        <w:rPr>
          <w:rFonts w:cs="AIIHDK+TimesNewRoman"/>
          <w:color w:val="000000"/>
        </w:rPr>
        <w:t>Innocenti il quale comunicava nel maggio 1563, al Capitolo alcune osservazioni, peraltro di non grande rilievo, che furono oggetto di ulteriori adunanze capitolari nelle quali il testo fu nuovamente modificato. Le nuove Costituzioni  così deliberate furono approvate dall’Arcivescovo Antonio Altoviti il 19 dicembre del 1566</w:t>
      </w:r>
      <w:r>
        <w:rPr>
          <w:rStyle w:val="Caratteredellanota"/>
          <w:rFonts w:cs="AIIHDK+TimesNewRoman"/>
          <w:color w:val="000000"/>
        </w:rPr>
        <w:footnoteReference w:id="30"/>
      </w:r>
      <w:r>
        <w:rPr>
          <w:rFonts w:cs="AIIHDK+TimesNewRoman"/>
          <w:color w:val="000000"/>
        </w:rPr>
        <w:t>. Queste Costituzioni furono stampate senza editore con un numero di copie assai limitato e, dunque, con un semplice valore “</w:t>
      </w:r>
      <w:r>
        <w:rPr>
          <w:rFonts w:cs="AIIHDK+TimesNewRoman"/>
          <w:i/>
          <w:color w:val="000000"/>
        </w:rPr>
        <w:t>pro manuscripto</w:t>
      </w:r>
      <w:r>
        <w:rPr>
          <w:rFonts w:cs="AIIHDK+TimesNewRoman"/>
          <w:color w:val="000000"/>
        </w:rPr>
        <w:t xml:space="preserve">”. Questa circostanza può aver influito sulla insufficiente osservanza ed applicazione delle Costituzioni, come pure alcuni contrasti tra </w:t>
      </w:r>
      <w:r w:rsidR="00CD3515">
        <w:rPr>
          <w:rFonts w:cs="AIIHDK+TimesNewRoman"/>
          <w:color w:val="000000"/>
        </w:rPr>
        <w:t>canonici</w:t>
      </w:r>
      <w:r>
        <w:rPr>
          <w:rFonts w:cs="AIIHDK+TimesNewRoman"/>
          <w:color w:val="000000"/>
        </w:rPr>
        <w:t xml:space="preserve"> e cappellani crearono difficoltà alla vita della comunità laurenziana per alcune incomprensione interpretative del testo, cosicché si determinò in seguito, da parte del Granduca Cosimo II, di riprecisare alcune norme ed editare, stavolta a stampa, delle nuove Costituzioni che, come detto, vedranno la luce nel 1617. </w:t>
      </w:r>
    </w:p>
    <w:p w14:paraId="76BDD3BB" w14:textId="77777777" w:rsidR="00A13ECD" w:rsidRDefault="00A13ECD">
      <w:pPr>
        <w:pStyle w:val="NormaleWeb"/>
        <w:jc w:val="both"/>
        <w:rPr>
          <w:rFonts w:cs="AIIHDK+TimesNewRoman"/>
          <w:color w:val="000000"/>
        </w:rPr>
      </w:pPr>
      <w:r>
        <w:rPr>
          <w:rFonts w:cs="AIIHDK+TimesNewRoman"/>
          <w:color w:val="000000"/>
        </w:rPr>
        <w:t>La novità principale è costituita dall’aumento dei canonicati che passarono da</w:t>
      </w:r>
      <w:r w:rsidR="00CD3515">
        <w:rPr>
          <w:rFonts w:cs="AIIHDK+TimesNewRoman"/>
          <w:color w:val="000000"/>
        </w:rPr>
        <w:t xml:space="preserve"> nove  a</w:t>
      </w:r>
      <w:r>
        <w:rPr>
          <w:rFonts w:cs="AIIHDK+TimesNewRoman"/>
          <w:color w:val="000000"/>
        </w:rPr>
        <w:t xml:space="preserve"> tredici. Aumentarono in modo esponenziale le cappellanie (ben </w:t>
      </w:r>
      <w:r w:rsidR="00CD3515">
        <w:rPr>
          <w:rFonts w:cs="AIIHDK+TimesNewRoman"/>
          <w:color w:val="000000"/>
        </w:rPr>
        <w:t>quaranta</w:t>
      </w:r>
      <w:r>
        <w:rPr>
          <w:rFonts w:cs="AIIHDK+TimesNewRoman"/>
          <w:color w:val="000000"/>
        </w:rPr>
        <w:t xml:space="preserve">nove), divise tra trentatre maggiori e sedici minori. Sia le prebende canonicali che le cappellanie erano garantite dagli emolumenti delle maggiori famiglie fiorentine e “sanlorenzine”,  oltre ai Medici, i Rondinelli, i </w:t>
      </w:r>
      <w:r w:rsidR="008D00C3">
        <w:rPr>
          <w:rFonts w:cs="AIIHDK+TimesNewRoman"/>
          <w:color w:val="000000"/>
        </w:rPr>
        <w:t xml:space="preserve">Lotteringhi </w:t>
      </w:r>
      <w:r>
        <w:rPr>
          <w:rFonts w:cs="AIIHDK+TimesNewRoman"/>
          <w:color w:val="000000"/>
        </w:rPr>
        <w:t>Della Stufa, i Neroni, i Martelli, ecc. Queste famiglie esercitavano il loro patronato nelle elezioni del Priore. Ovviamente il maggior peso l’ebbero sempre i Medici. Il diritto di patronato era il privilegio di presentare alla competente autorità ecclesiastica la persona a cui doveva essere conferito il beneficio, in questo caso il canonicato o la cappellania nella Basilica, poteva anche appartenere a laici ed era trasmesso agli eredi legittimi o testamentari.</w:t>
      </w:r>
    </w:p>
    <w:p w14:paraId="6B70AEC8" w14:textId="77777777" w:rsidR="00A13ECD" w:rsidRDefault="00A13ECD">
      <w:pPr>
        <w:pStyle w:val="NormaleWeb"/>
        <w:jc w:val="both"/>
        <w:rPr>
          <w:rFonts w:cs="AIIHDK+TimesNewRoman"/>
          <w:color w:val="000000"/>
        </w:rPr>
      </w:pPr>
      <w:r>
        <w:rPr>
          <w:rFonts w:cs="AIIHDK+TimesNewRoman"/>
          <w:color w:val="000000"/>
        </w:rPr>
        <w:t>Aumentò</w:t>
      </w:r>
      <w:r w:rsidR="00955D42">
        <w:rPr>
          <w:rFonts w:cs="AIIHDK+TimesNewRoman"/>
          <w:color w:val="000000"/>
        </w:rPr>
        <w:t>, inoltre,</w:t>
      </w:r>
      <w:r>
        <w:rPr>
          <w:rFonts w:cs="AIIHDK+TimesNewRoman"/>
          <w:color w:val="000000"/>
        </w:rPr>
        <w:t xml:space="preserve"> il rilievo del priore, rettore della </w:t>
      </w:r>
      <w:r w:rsidR="00CD3515">
        <w:rPr>
          <w:rFonts w:cs="AIIHDK+TimesNewRoman"/>
          <w:color w:val="000000"/>
        </w:rPr>
        <w:t>chiesa e c</w:t>
      </w:r>
      <w:r>
        <w:rPr>
          <w:rFonts w:cs="AIIHDK+TimesNewRoman"/>
          <w:color w:val="000000"/>
        </w:rPr>
        <w:t>apo del Capitolo, annoverato tra i protonotari apostolici con la possibilità di usare le insegne pontificali, cioè la mitra, il pastorale, l’anello durante le celebrazioni liturgiche nei giorni di Natale, Pasqua, Pentecoste, San Lorenzo, Santi Cosma e Damiano, Ognissanti e nelle commemorazioni dei fedeli defunti</w:t>
      </w:r>
      <w:r>
        <w:rPr>
          <w:rStyle w:val="Caratteredellanota"/>
          <w:rFonts w:cs="AIIHDK+TimesNewRoman"/>
          <w:color w:val="000000"/>
        </w:rPr>
        <w:footnoteReference w:id="31"/>
      </w:r>
      <w:r>
        <w:rPr>
          <w:rFonts w:cs="AIIHDK+TimesNewRoman"/>
          <w:color w:val="000000"/>
        </w:rPr>
        <w:t>.</w:t>
      </w:r>
    </w:p>
    <w:p w14:paraId="5CEE269D" w14:textId="77777777" w:rsidR="00A13ECD" w:rsidRDefault="00A13ECD">
      <w:pPr>
        <w:pStyle w:val="NormaleWeb"/>
        <w:jc w:val="both"/>
        <w:rPr>
          <w:rFonts w:cs="AIIHDK+TimesNewRoman"/>
          <w:color w:val="000000"/>
        </w:rPr>
      </w:pPr>
      <w:r>
        <w:rPr>
          <w:rFonts w:cs="AIIHDK+TimesNewRoman"/>
          <w:color w:val="000000"/>
        </w:rPr>
        <w:t xml:space="preserve">In questo periodo vennero ridimensionate le nomine di </w:t>
      </w:r>
      <w:r w:rsidR="00CD3515">
        <w:rPr>
          <w:rFonts w:cs="AIIHDK+TimesNewRoman"/>
          <w:color w:val="000000"/>
        </w:rPr>
        <w:t>canonici</w:t>
      </w:r>
      <w:r>
        <w:rPr>
          <w:rFonts w:cs="AIIHDK+TimesNewRoman"/>
          <w:color w:val="000000"/>
        </w:rPr>
        <w:t xml:space="preserve"> laici, già inserite nelle variazioni  delle precedenti Costituzioni, perché le deliberazioni capitolari spettavano solo a quei </w:t>
      </w:r>
      <w:r w:rsidR="00CD3515">
        <w:rPr>
          <w:rFonts w:cs="AIIHDK+TimesNewRoman"/>
          <w:color w:val="000000"/>
        </w:rPr>
        <w:t>canonici</w:t>
      </w:r>
      <w:r>
        <w:rPr>
          <w:rFonts w:cs="AIIHDK+TimesNewRoman"/>
          <w:color w:val="000000"/>
        </w:rPr>
        <w:t xml:space="preserve"> che dovevano aver compiuto i ventidue anni ed essere costituiti </w:t>
      </w:r>
      <w:r>
        <w:rPr>
          <w:rFonts w:cs="AIIHDK+TimesNewRoman"/>
          <w:i/>
          <w:color w:val="000000"/>
        </w:rPr>
        <w:t>in sacris</w:t>
      </w:r>
      <w:r>
        <w:rPr>
          <w:rFonts w:cs="AIIHDK+TimesNewRoman"/>
          <w:color w:val="000000"/>
        </w:rPr>
        <w:t xml:space="preserve"> cioè aver ricevuto uno degli Ordini maggiori. Nel Capitolo Laurenziano per ogni deliberazione dovevano essere almeno presenti otto </w:t>
      </w:r>
      <w:r w:rsidR="00CD3515">
        <w:rPr>
          <w:rFonts w:cs="AIIHDK+TimesNewRoman"/>
          <w:color w:val="000000"/>
        </w:rPr>
        <w:t>canonici</w:t>
      </w:r>
      <w:r>
        <w:rPr>
          <w:rFonts w:cs="AIIHDK+TimesNewRoman"/>
          <w:color w:val="000000"/>
        </w:rPr>
        <w:t xml:space="preserve"> con potere di voto (era tra l’altro il </w:t>
      </w:r>
      <w:r>
        <w:rPr>
          <w:rFonts w:cs="AIIHDK+TimesNewRoman"/>
          <w:i/>
          <w:color w:val="000000"/>
        </w:rPr>
        <w:t>quorum</w:t>
      </w:r>
      <w:r>
        <w:rPr>
          <w:rFonts w:cs="AIIHDK+TimesNewRoman"/>
          <w:color w:val="000000"/>
        </w:rPr>
        <w:t xml:space="preserve"> minimo per l’elezione del priore) e cinque </w:t>
      </w:r>
      <w:r w:rsidR="00CD3515">
        <w:rPr>
          <w:rFonts w:cs="AIIHDK+TimesNewRoman"/>
          <w:color w:val="000000"/>
        </w:rPr>
        <w:t>canonici</w:t>
      </w:r>
      <w:r>
        <w:rPr>
          <w:rFonts w:cs="AIIHDK+TimesNewRoman"/>
          <w:color w:val="000000"/>
        </w:rPr>
        <w:t xml:space="preserve"> laici </w:t>
      </w:r>
      <w:r>
        <w:rPr>
          <w:rStyle w:val="Caratteredellanota"/>
          <w:rFonts w:cs="AIIHDK+TimesNewRoman"/>
          <w:color w:val="000000"/>
        </w:rPr>
        <w:footnoteReference w:id="32"/>
      </w:r>
      <w:r>
        <w:rPr>
          <w:rFonts w:cs="AIIHDK+TimesNewRoman"/>
          <w:color w:val="000000"/>
        </w:rPr>
        <w:t>.</w:t>
      </w:r>
    </w:p>
    <w:p w14:paraId="374C4DE5" w14:textId="77777777" w:rsidR="00A13ECD" w:rsidRDefault="00A13ECD">
      <w:pPr>
        <w:pStyle w:val="NormaleWeb"/>
        <w:jc w:val="both"/>
        <w:rPr>
          <w:rFonts w:cs="Arial"/>
          <w:szCs w:val="20"/>
        </w:rPr>
      </w:pPr>
      <w:r>
        <w:rPr>
          <w:rFonts w:cs="AIIHDK+TimesNewRoman"/>
          <w:color w:val="000000"/>
        </w:rPr>
        <w:t xml:space="preserve">Nello scorrere l’elenco dei </w:t>
      </w:r>
      <w:r w:rsidR="00CD3515">
        <w:rPr>
          <w:rFonts w:cs="AIIHDK+TimesNewRoman"/>
          <w:color w:val="000000"/>
        </w:rPr>
        <w:t>canonici</w:t>
      </w:r>
      <w:r>
        <w:rPr>
          <w:rFonts w:cs="AIIHDK+TimesNewRoman"/>
          <w:color w:val="000000"/>
        </w:rPr>
        <w:t xml:space="preserve"> del periodo rinascimentale colpisce vedere la presenza di letterati e uomini di profonda cultura, dediti la maggior parte ad editare traduzioni di opere classiche greche e latine. Tutto ciò giustifica la volontà di casa Medici dai tempi di Cosimo il Vecchio di iniziare la raccolta sistematica di opere letterarie che andò a costituire la Biblioteca Laurenziana. Essa fu fortemente voluta dal Papa Clemente VII, Giulio de’ Medici e, nel 1571, per volontà di Cosimo I, fu aperta al pubblico. </w:t>
      </w:r>
    </w:p>
    <w:p w14:paraId="05552383" w14:textId="77777777" w:rsidR="00A13ECD" w:rsidRDefault="00A13ECD">
      <w:pPr>
        <w:pStyle w:val="NormaleWeb"/>
        <w:jc w:val="both"/>
        <w:rPr>
          <w:rFonts w:cs="AIIHDK+TimesNewRoman"/>
          <w:color w:val="000000"/>
        </w:rPr>
      </w:pPr>
      <w:r>
        <w:rPr>
          <w:rFonts w:cs="Arial"/>
          <w:szCs w:val="20"/>
        </w:rPr>
        <w:t xml:space="preserve">Va inoltre ricordato l’apporto specifico dei </w:t>
      </w:r>
      <w:r w:rsidR="00CD3515">
        <w:rPr>
          <w:rFonts w:cs="Arial"/>
          <w:szCs w:val="20"/>
        </w:rPr>
        <w:t>canonici</w:t>
      </w:r>
      <w:r>
        <w:rPr>
          <w:rFonts w:cs="Arial"/>
          <w:szCs w:val="20"/>
        </w:rPr>
        <w:t xml:space="preserve"> laurenziani alla cura della Biblioteca e per l’arricchimento culturale del complesso, come Apollonio Bassetti, dotto segretario del Granduca, </w:t>
      </w:r>
      <w:r>
        <w:rPr>
          <w:bCs/>
        </w:rPr>
        <w:t>Antonio Maria Biscioni</w:t>
      </w:r>
      <w:r>
        <w:t xml:space="preserve"> </w:t>
      </w:r>
      <w:hyperlink r:id="rId19" w:history="1">
        <w:r w:rsidRPr="00CD3515">
          <w:rPr>
            <w:rStyle w:val="Collegamentoipertestuale"/>
            <w:color w:val="auto"/>
            <w:u w:val="none"/>
          </w:rPr>
          <w:t>letterato</w:t>
        </w:r>
      </w:hyperlink>
      <w:r w:rsidRPr="00CD3515">
        <w:t xml:space="preserve">, </w:t>
      </w:r>
      <w:hyperlink r:id="rId20" w:history="1">
        <w:r w:rsidRPr="00CD3515">
          <w:rPr>
            <w:rStyle w:val="Collegamentoipertestuale"/>
            <w:color w:val="auto"/>
            <w:u w:val="none"/>
          </w:rPr>
          <w:t>filologo</w:t>
        </w:r>
      </w:hyperlink>
      <w:r>
        <w:t xml:space="preserve"> e  bibliotecario, oppure il suo successore nel</w:t>
      </w:r>
      <w:r>
        <w:rPr>
          <w:rFonts w:cs="Arial"/>
          <w:szCs w:val="20"/>
        </w:rPr>
        <w:t xml:space="preserve"> 1757, il canonico laurenziano Angelo Maria Bandini. Durante i circa cinquant'anni della sua direzione non soltanto Bandini operò una oculatissima scelta delle acquisizioni, ma compilò alcuni monumentali cataloghi a stampa di tutti i suoi codici, strumento ancora insuperato di erudizione e di consultazione. E neanche è possibile tacere l’opera completata dal Frescobaldi con il canonico Giovan Cammillo Vandi nel riordino dell’Archivio Capitolare portato avanti dai cappellani Francesco Maria Ducci e </w:t>
      </w:r>
      <w:r>
        <w:rPr>
          <w:rFonts w:cs="Arial"/>
          <w:szCs w:val="20"/>
        </w:rPr>
        <w:lastRenderedPageBreak/>
        <w:t>Francesco Stefani. Un fervore letterario e culturale che investì per secoli il Capitolo. Del resto proprio le Costituzioni ci rivelano la presenza del canonico archivista, il canonico segretario capitolare, il canonico bibliotecario</w:t>
      </w:r>
      <w:r>
        <w:rPr>
          <w:rStyle w:val="Caratteredellanota"/>
          <w:rFonts w:cs="Arial"/>
          <w:szCs w:val="20"/>
        </w:rPr>
        <w:footnoteReference w:id="33"/>
      </w:r>
      <w:r>
        <w:rPr>
          <w:rFonts w:cs="Arial"/>
          <w:szCs w:val="20"/>
        </w:rPr>
        <w:t xml:space="preserve"> . Una tradizione che, come vedremo durerà fino al 1867.</w:t>
      </w:r>
    </w:p>
    <w:p w14:paraId="2E3FF97C" w14:textId="77777777" w:rsidR="00A13ECD" w:rsidRDefault="00A13ECD">
      <w:pPr>
        <w:pStyle w:val="NormaleWeb"/>
        <w:jc w:val="both"/>
        <w:rPr>
          <w:rFonts w:cs="AIIHDK+TimesNewRoman"/>
          <w:color w:val="000000"/>
        </w:rPr>
      </w:pPr>
      <w:r>
        <w:rPr>
          <w:rFonts w:cs="AIIHDK+TimesNewRoman"/>
          <w:color w:val="000000"/>
        </w:rPr>
        <w:t xml:space="preserve">Ma la fortuna del complesso Laurenziano aveva già trovato un altro grande </w:t>
      </w:r>
      <w:r>
        <w:rPr>
          <w:rFonts w:cs="AIIHDK+TimesNewRoman"/>
          <w:i/>
          <w:color w:val="000000"/>
        </w:rPr>
        <w:t>sponsor</w:t>
      </w:r>
      <w:r>
        <w:rPr>
          <w:rFonts w:cs="AIIHDK+TimesNewRoman"/>
          <w:color w:val="000000"/>
        </w:rPr>
        <w:t xml:space="preserve"> nella persona di Leone X, Giovanni de’ Medici, già canonico di San Lorenzo, avendo da lui beneficiato di numerosi privilegi e dell’istituzione di nuove cospicue prebende</w:t>
      </w:r>
      <w:r>
        <w:rPr>
          <w:rStyle w:val="Caratteredellanota"/>
          <w:rFonts w:cs="AIIHDK+TimesNewRoman"/>
          <w:color w:val="000000"/>
        </w:rPr>
        <w:footnoteReference w:id="34"/>
      </w:r>
      <w:r>
        <w:rPr>
          <w:rFonts w:cs="AIIHDK+TimesNewRoman"/>
          <w:color w:val="000000"/>
        </w:rPr>
        <w:t xml:space="preserve">. </w:t>
      </w:r>
    </w:p>
    <w:p w14:paraId="6752D9EB" w14:textId="77777777" w:rsidR="00A13ECD" w:rsidRDefault="00A13ECD">
      <w:pPr>
        <w:pStyle w:val="NormaleWeb"/>
        <w:jc w:val="both"/>
        <w:rPr>
          <w:rFonts w:cs="AIIHDK+TimesNewRoman"/>
          <w:color w:val="000000"/>
        </w:rPr>
      </w:pPr>
      <w:r>
        <w:rPr>
          <w:rFonts w:cs="AIIHDK+TimesNewRoman"/>
          <w:color w:val="000000"/>
        </w:rPr>
        <w:t xml:space="preserve">Scorrendo le </w:t>
      </w:r>
      <w:r>
        <w:rPr>
          <w:rFonts w:cs="AIIHDK+TimesNewRoman"/>
          <w:i/>
          <w:color w:val="000000"/>
        </w:rPr>
        <w:t>Memorie Istoriche,</w:t>
      </w:r>
      <w:r>
        <w:rPr>
          <w:rFonts w:cs="AIIHDK+TimesNewRoman"/>
          <w:color w:val="000000"/>
        </w:rPr>
        <w:t xml:space="preserve"> raccolte dal Moreni, anch’egli, come il Cianfogni, canonico laurenziano, sorprende leggere che i lavori della costruzione del nuovo edificio furono seguiti non soltanto dalla famiglia Medici ma dai </w:t>
      </w:r>
      <w:r w:rsidR="00CD3515">
        <w:rPr>
          <w:rFonts w:cs="AIIHDK+TimesNewRoman"/>
          <w:color w:val="000000"/>
        </w:rPr>
        <w:t>canonici stessi unitamente al p</w:t>
      </w:r>
      <w:r>
        <w:rPr>
          <w:rFonts w:cs="AIIHDK+TimesNewRoman"/>
          <w:color w:val="000000"/>
        </w:rPr>
        <w:t>riore</w:t>
      </w:r>
      <w:r>
        <w:rPr>
          <w:rStyle w:val="Caratteredellanota"/>
          <w:rFonts w:cs="AIIHDK+TimesNewRoman"/>
          <w:color w:val="000000"/>
        </w:rPr>
        <w:footnoteReference w:id="35"/>
      </w:r>
      <w:r>
        <w:rPr>
          <w:rFonts w:cs="AIIHDK+TimesNewRoman"/>
          <w:color w:val="000000"/>
        </w:rPr>
        <w:t>. Questo giustifica insieme alle altre mansioni culturali, la necessità che il Capitolo si riunisse ogni settimana per le varie deliberazioni</w:t>
      </w:r>
      <w:r>
        <w:rPr>
          <w:rStyle w:val="Caratteredellanota"/>
          <w:rFonts w:cs="AIIHDK+TimesNewRoman"/>
          <w:color w:val="000000"/>
        </w:rPr>
        <w:footnoteReference w:id="36"/>
      </w:r>
      <w:r>
        <w:rPr>
          <w:rFonts w:cs="AIIHDK+TimesNewRoman"/>
          <w:color w:val="000000"/>
        </w:rPr>
        <w:t>.</w:t>
      </w:r>
    </w:p>
    <w:p w14:paraId="707EFE56" w14:textId="77777777" w:rsidR="00A13ECD" w:rsidRDefault="00A13ECD">
      <w:pPr>
        <w:pStyle w:val="NormaleWeb"/>
        <w:jc w:val="both"/>
        <w:rPr>
          <w:rFonts w:cs="AIIHDK+TimesNewRoman"/>
          <w:color w:val="000000"/>
        </w:rPr>
      </w:pPr>
      <w:r>
        <w:rPr>
          <w:rFonts w:cs="AIIHDK+TimesNewRoman"/>
          <w:color w:val="000000"/>
        </w:rPr>
        <w:t xml:space="preserve">Il legame con i Medici e il Capitolo si rafforza sempre più negli anni soprattutto in occasione di ricorrenze particolari come esequie e matrimoni. Quando si parla di “famiglia laurenziana”, nelle Costituzioni, si intende il clero capitolare con i suoi collaboratori, i cappellani e relativi cooperatori </w:t>
      </w:r>
      <w:r w:rsidR="00955D42">
        <w:rPr>
          <w:rFonts w:cs="AIIHDK+TimesNewRoman"/>
          <w:color w:val="000000"/>
        </w:rPr>
        <w:t>ed</w:t>
      </w:r>
      <w:r>
        <w:rPr>
          <w:rFonts w:cs="AIIHDK+TimesNewRoman"/>
          <w:color w:val="000000"/>
        </w:rPr>
        <w:t xml:space="preserve"> anche i membri della famiglia medicea. Oggi permane la medesima dici</w:t>
      </w:r>
      <w:r w:rsidR="00955D42">
        <w:rPr>
          <w:rFonts w:cs="AIIHDK+TimesNewRoman"/>
          <w:color w:val="000000"/>
        </w:rPr>
        <w:t>tura nelle vigenti Costituzioni. S</w:t>
      </w:r>
      <w:r>
        <w:rPr>
          <w:rFonts w:cs="AIIHDK+TimesNewRoman"/>
          <w:color w:val="000000"/>
        </w:rPr>
        <w:t xml:space="preserve">e la </w:t>
      </w:r>
      <w:r w:rsidR="00CD3515">
        <w:rPr>
          <w:rFonts w:cs="AIIHDK+TimesNewRoman"/>
          <w:color w:val="000000"/>
        </w:rPr>
        <w:t>c</w:t>
      </w:r>
      <w:r>
        <w:rPr>
          <w:rFonts w:cs="AIIHDK+TimesNewRoman"/>
          <w:color w:val="000000"/>
        </w:rPr>
        <w:t>asa Medici si è estinta</w:t>
      </w:r>
      <w:r w:rsidR="00955D42">
        <w:rPr>
          <w:rFonts w:cs="AIIHDK+TimesNewRoman"/>
          <w:color w:val="000000"/>
        </w:rPr>
        <w:t>,</w:t>
      </w:r>
      <w:r>
        <w:rPr>
          <w:rFonts w:cs="AIIHDK+TimesNewRoman"/>
          <w:color w:val="000000"/>
        </w:rPr>
        <w:t xml:space="preserve"> tuttavia</w:t>
      </w:r>
      <w:r w:rsidR="00955D42">
        <w:rPr>
          <w:rFonts w:cs="AIIHDK+TimesNewRoman"/>
          <w:color w:val="000000"/>
        </w:rPr>
        <w:t>,</w:t>
      </w:r>
      <w:r>
        <w:rPr>
          <w:rFonts w:cs="AIIHDK+TimesNewRoman"/>
          <w:color w:val="000000"/>
        </w:rPr>
        <w:t xml:space="preserve"> se ne conserva intatto il ricordo con i relativi impegni liturgici di suffragio. Tale attenzione seppur in diversa </w:t>
      </w:r>
      <w:r w:rsidR="00CD3515">
        <w:rPr>
          <w:rFonts w:cs="AIIHDK+TimesNewRoman"/>
          <w:color w:val="000000"/>
        </w:rPr>
        <w:t xml:space="preserve">e minore </w:t>
      </w:r>
      <w:r>
        <w:rPr>
          <w:rFonts w:cs="AIIHDK+TimesNewRoman"/>
          <w:color w:val="000000"/>
        </w:rPr>
        <w:t>modalità si tr</w:t>
      </w:r>
      <w:r w:rsidR="00CD3515">
        <w:rPr>
          <w:rFonts w:cs="AIIHDK+TimesNewRoman"/>
          <w:color w:val="000000"/>
        </w:rPr>
        <w:t xml:space="preserve">asferì </w:t>
      </w:r>
      <w:r>
        <w:rPr>
          <w:rFonts w:cs="AIIHDK+TimesNewRoman"/>
          <w:color w:val="000000"/>
        </w:rPr>
        <w:t>alla casa regnante degli</w:t>
      </w:r>
      <w:r w:rsidR="00CD3515">
        <w:rPr>
          <w:rFonts w:cs="AIIHDK+TimesNewRoman"/>
          <w:color w:val="000000"/>
        </w:rPr>
        <w:t xml:space="preserve"> Asburgo Lorena ed infine alla c</w:t>
      </w:r>
      <w:r>
        <w:rPr>
          <w:rFonts w:cs="AIIHDK+TimesNewRoman"/>
          <w:color w:val="000000"/>
        </w:rPr>
        <w:t xml:space="preserve">asa Savoia. </w:t>
      </w:r>
    </w:p>
    <w:p w14:paraId="52F00DA5" w14:textId="77777777" w:rsidR="00A13ECD" w:rsidRDefault="00A13ECD">
      <w:pPr>
        <w:pStyle w:val="NormaleWeb"/>
        <w:jc w:val="both"/>
        <w:rPr>
          <w:rFonts w:cs="AIIHDK+TimesNewRoman"/>
          <w:color w:val="000000"/>
        </w:rPr>
      </w:pPr>
      <w:r>
        <w:rPr>
          <w:rFonts w:cs="AIIHDK+TimesNewRoman"/>
          <w:color w:val="000000"/>
        </w:rPr>
        <w:t xml:space="preserve">Nelle Costituzioni del 1566 troviamo bene evidenziate le solennità pontificali che riguardavano i Medici, come anniversari, suffragi, ricorrenze ecc. </w:t>
      </w:r>
      <w:r>
        <w:rPr>
          <w:rStyle w:val="Caratteredellanota"/>
          <w:rFonts w:cs="AIIHDK+TimesNewRoman"/>
          <w:color w:val="000000"/>
        </w:rPr>
        <w:footnoteReference w:id="37"/>
      </w:r>
      <w:r>
        <w:rPr>
          <w:rFonts w:cs="AIIHDK+TimesNewRoman"/>
          <w:color w:val="000000"/>
        </w:rPr>
        <w:t xml:space="preserve"> .Inoltre quegli anni accanto a San Lorenzo per volontà del Papa Medici Leone X vengono aggiunti i compatroni Cosma </w:t>
      </w:r>
      <w:r w:rsidR="00CD3515">
        <w:rPr>
          <w:rFonts w:cs="AIIHDK+TimesNewRoman"/>
          <w:color w:val="000000"/>
        </w:rPr>
        <w:t>e Damiano, numi tutelari della c</w:t>
      </w:r>
      <w:r>
        <w:rPr>
          <w:rFonts w:cs="AIIHDK+TimesNewRoman"/>
          <w:color w:val="000000"/>
        </w:rPr>
        <w:t xml:space="preserve">asa regnante </w:t>
      </w:r>
      <w:r>
        <w:rPr>
          <w:rStyle w:val="Caratteredellanota"/>
          <w:rFonts w:cs="AIIHDK+TimesNewRoman"/>
          <w:color w:val="000000"/>
        </w:rPr>
        <w:footnoteReference w:id="38"/>
      </w:r>
      <w:r>
        <w:rPr>
          <w:rFonts w:cs="AIIHDK+TimesNewRoman"/>
          <w:color w:val="000000"/>
        </w:rPr>
        <w:t>. Per favorire e vigilare sulle suddette disposizioni, le Costituzioni aggiungono la figura inedita dei “conservatori”: si tratta di due laici nominati dalla</w:t>
      </w:r>
      <w:r w:rsidR="00CD3515">
        <w:rPr>
          <w:rFonts w:cs="AIIHDK+TimesNewRoman"/>
          <w:color w:val="000000"/>
        </w:rPr>
        <w:t xml:space="preserve"> casa Medici. Essi controllavano il mantenimento della massa capitolare, ovvero il patrimonio comune del Capitolo,</w:t>
      </w:r>
      <w:r w:rsidR="00BE4D39">
        <w:rPr>
          <w:rFonts w:cs="AIIHDK+TimesNewRoman"/>
          <w:color w:val="000000"/>
        </w:rPr>
        <w:t xml:space="preserve"> </w:t>
      </w:r>
      <w:r>
        <w:rPr>
          <w:rFonts w:cs="AIIHDK+TimesNewRoman"/>
          <w:color w:val="000000"/>
        </w:rPr>
        <w:t>affinché fosse assicurato l’adeguato fondo per le distribuzioni. Per le eventuali deliber</w:t>
      </w:r>
      <w:r w:rsidR="008D00C3">
        <w:rPr>
          <w:rFonts w:cs="AIIHDK+TimesNewRoman"/>
          <w:color w:val="000000"/>
        </w:rPr>
        <w:t>e</w:t>
      </w:r>
      <w:r>
        <w:rPr>
          <w:rFonts w:cs="AIIHDK+TimesNewRoman"/>
          <w:color w:val="000000"/>
        </w:rPr>
        <w:t xml:space="preserve"> concernenti l’amministrazione occorreva sempre il beneplacito dei conservatori che erano scelti dai </w:t>
      </w:r>
      <w:r w:rsidR="00CD3515">
        <w:rPr>
          <w:rFonts w:cs="AIIHDK+TimesNewRoman"/>
          <w:color w:val="000000"/>
        </w:rPr>
        <w:t>canonici</w:t>
      </w:r>
      <w:r>
        <w:rPr>
          <w:rFonts w:cs="AIIHDK+TimesNewRoman"/>
          <w:color w:val="000000"/>
        </w:rPr>
        <w:t xml:space="preserve"> da una lista fornita dal Granduca</w:t>
      </w:r>
      <w:r>
        <w:rPr>
          <w:rStyle w:val="Caratteredellanota"/>
          <w:rFonts w:cs="AIIHDK+TimesNewRoman"/>
          <w:color w:val="000000"/>
        </w:rPr>
        <w:footnoteReference w:id="39"/>
      </w:r>
      <w:r>
        <w:rPr>
          <w:rFonts w:cs="AIIHDK+TimesNewRoman"/>
          <w:color w:val="000000"/>
        </w:rPr>
        <w:t>.</w:t>
      </w:r>
    </w:p>
    <w:p w14:paraId="5E485C10" w14:textId="77777777" w:rsidR="00A13ECD" w:rsidRDefault="00A13ECD">
      <w:pPr>
        <w:pStyle w:val="NormaleWeb"/>
        <w:jc w:val="both"/>
        <w:rPr>
          <w:rFonts w:cs="AIIHDK+TimesNewRoman"/>
          <w:color w:val="000000"/>
        </w:rPr>
      </w:pPr>
      <w:r>
        <w:rPr>
          <w:rFonts w:cs="AIIHDK+TimesNewRoman"/>
          <w:color w:val="000000"/>
        </w:rPr>
        <w:t>Un’altra novità delle Costituzioni è la codificazione dei compiti del maestro dei chierici. Già dal 1459, infatti era stata istituita in San Lorenzo una scuola per avviare al sacerdozio i giovani. Questa scuola terminò nella prima metà dell’800, quando riaprirono a Firenze il Seminario maggiore e quello della Calza. Le Costituzioni si soffermano molto sulle materie insegnate, spicca il canto gregoriano e le lettere.</w:t>
      </w:r>
      <w:r w:rsidR="00A56713">
        <w:rPr>
          <w:rFonts w:cs="AIIHDK+TimesNewRoman"/>
          <w:color w:val="000000"/>
        </w:rPr>
        <w:t xml:space="preserve"> Si evidenzia nel testo che la s</w:t>
      </w:r>
      <w:r w:rsidR="00BE4D39">
        <w:rPr>
          <w:rFonts w:cs="AIIHDK+TimesNewRoman"/>
          <w:color w:val="000000"/>
        </w:rPr>
        <w:t>c</w:t>
      </w:r>
      <w:r>
        <w:rPr>
          <w:rFonts w:cs="AIIHDK+TimesNewRoman"/>
          <w:color w:val="000000"/>
        </w:rPr>
        <w:t>uola andava considerata  come un vero seminario ed aveva il compito, oltre che di preparare i candidati al sacerdozio</w:t>
      </w:r>
      <w:r w:rsidR="00BE4D39">
        <w:rPr>
          <w:rFonts w:cs="AIIHDK+TimesNewRoman"/>
          <w:color w:val="000000"/>
        </w:rPr>
        <w:t>,</w:t>
      </w:r>
      <w:r>
        <w:rPr>
          <w:rFonts w:cs="AIIHDK+TimesNewRoman"/>
          <w:color w:val="000000"/>
        </w:rPr>
        <w:t xml:space="preserve"> di animare le celebrazioni solenni in Basilica quando vi partecipavano il priore o i </w:t>
      </w:r>
      <w:r w:rsidR="00CD3515">
        <w:rPr>
          <w:rFonts w:cs="AIIHDK+TimesNewRoman"/>
          <w:color w:val="000000"/>
        </w:rPr>
        <w:t>canonici</w:t>
      </w:r>
      <w:r>
        <w:rPr>
          <w:rFonts w:cs="AIIHDK+TimesNewRoman"/>
          <w:color w:val="000000"/>
        </w:rPr>
        <w:t xml:space="preserve"> </w:t>
      </w:r>
      <w:r>
        <w:rPr>
          <w:rStyle w:val="Caratteredellanota"/>
          <w:rFonts w:cs="AIIHDK+TimesNewRoman"/>
          <w:color w:val="000000"/>
        </w:rPr>
        <w:footnoteReference w:id="40"/>
      </w:r>
      <w:r>
        <w:rPr>
          <w:rFonts w:cs="AIIHDK+TimesNewRoman"/>
          <w:color w:val="000000"/>
        </w:rPr>
        <w:t>.</w:t>
      </w:r>
    </w:p>
    <w:p w14:paraId="1900CBF3" w14:textId="77777777" w:rsidR="00A13ECD" w:rsidRDefault="00A13ECD">
      <w:pPr>
        <w:pStyle w:val="NormaleWeb"/>
        <w:jc w:val="both"/>
        <w:rPr>
          <w:rFonts w:cs="AIIHDK+TimesNewRoman"/>
          <w:color w:val="000000"/>
        </w:rPr>
      </w:pPr>
      <w:r>
        <w:rPr>
          <w:rFonts w:cs="AIIHDK+TimesNewRoman"/>
          <w:color w:val="000000"/>
        </w:rPr>
        <w:t xml:space="preserve">Rimane, invece, invariata la normativa sulla cosiddetta </w:t>
      </w:r>
      <w:r>
        <w:rPr>
          <w:rFonts w:cs="AIIHDK+TimesNewRoman"/>
          <w:i/>
          <w:color w:val="000000"/>
        </w:rPr>
        <w:t xml:space="preserve">cura animarum. </w:t>
      </w:r>
      <w:r>
        <w:rPr>
          <w:rFonts w:cs="AIIHDK+TimesNewRoman"/>
          <w:color w:val="000000"/>
        </w:rPr>
        <w:t xml:space="preserve">Essa è circoscritta alle funzioni liturgiche e sacramentali che ricalcano i modelli già incrociati nelle Costituzioni precedenti. Vengono se mai approfonditi i compiti nell’assistenza agli infermi, e l’ascolto della Confessioni </w:t>
      </w:r>
      <w:r>
        <w:rPr>
          <w:rFonts w:cs="AIIHDK+TimesNewRoman"/>
          <w:color w:val="000000"/>
        </w:rPr>
        <w:lastRenderedPageBreak/>
        <w:t xml:space="preserve">sacramentali soprattutto nei vari conventi della parrocchia. Infine si ribadiva la distinzione dei ruoli tra </w:t>
      </w:r>
      <w:r w:rsidR="00CD3515">
        <w:rPr>
          <w:rFonts w:cs="AIIHDK+TimesNewRoman"/>
          <w:color w:val="000000"/>
        </w:rPr>
        <w:t>canonici</w:t>
      </w:r>
      <w:r>
        <w:rPr>
          <w:rFonts w:cs="AIIHDK+TimesNewRoman"/>
          <w:color w:val="000000"/>
        </w:rPr>
        <w:t xml:space="preserve"> e cappellani, che, purtroppo, provocava non pochi problemi </w:t>
      </w:r>
      <w:r>
        <w:rPr>
          <w:rStyle w:val="Caratteredellanota"/>
          <w:rFonts w:cs="AIIHDK+TimesNewRoman"/>
          <w:color w:val="000000"/>
        </w:rPr>
        <w:footnoteReference w:id="41"/>
      </w:r>
      <w:r>
        <w:rPr>
          <w:rFonts w:cs="AIIHDK+TimesNewRoman"/>
          <w:color w:val="000000"/>
        </w:rPr>
        <w:t>.</w:t>
      </w:r>
    </w:p>
    <w:p w14:paraId="4E9CDF9A" w14:textId="77777777" w:rsidR="00A13ECD" w:rsidRDefault="00A13ECD">
      <w:pPr>
        <w:pStyle w:val="NormaleWeb"/>
        <w:jc w:val="both"/>
        <w:rPr>
          <w:rFonts w:cs="AIIHDK+TimesNewRoman"/>
          <w:color w:val="000000"/>
        </w:rPr>
      </w:pPr>
      <w:r>
        <w:rPr>
          <w:rFonts w:cs="AIIHDK+TimesNewRoman"/>
          <w:color w:val="000000"/>
        </w:rPr>
        <w:t xml:space="preserve">Un particolare curioso è la codificazione sotto i compiti del cuoco e della cucina del refettorio dei </w:t>
      </w:r>
      <w:r w:rsidR="00CD3515">
        <w:rPr>
          <w:rFonts w:cs="AIIHDK+TimesNewRoman"/>
          <w:color w:val="000000"/>
        </w:rPr>
        <w:t>canonici</w:t>
      </w:r>
      <w:r>
        <w:rPr>
          <w:rFonts w:cs="AIIHDK+TimesNewRoman"/>
          <w:color w:val="000000"/>
        </w:rPr>
        <w:t xml:space="preserve"> degli orari di apertura della cucina e </w:t>
      </w:r>
      <w:r w:rsidR="00955D42">
        <w:rPr>
          <w:rFonts w:cs="AIIHDK+TimesNewRoman"/>
          <w:color w:val="000000"/>
        </w:rPr>
        <w:t>persino</w:t>
      </w:r>
      <w:r>
        <w:rPr>
          <w:rFonts w:cs="AIIHDK+TimesNewRoman"/>
          <w:color w:val="000000"/>
        </w:rPr>
        <w:t xml:space="preserve"> i contenuti e il numero della singole portate sia per i giorni feriali che per le feste</w:t>
      </w:r>
      <w:r>
        <w:rPr>
          <w:rStyle w:val="Caratteredellanota"/>
          <w:rFonts w:cs="AIIHDK+TimesNewRoman"/>
          <w:color w:val="000000"/>
        </w:rPr>
        <w:footnoteReference w:id="42"/>
      </w:r>
    </w:p>
    <w:p w14:paraId="733AE4DE" w14:textId="77777777" w:rsidR="00BE4D39" w:rsidRDefault="00A13ECD">
      <w:pPr>
        <w:pStyle w:val="NormaleWeb"/>
        <w:jc w:val="both"/>
        <w:rPr>
          <w:rFonts w:cs="AIIHDK+TimesNewRoman"/>
          <w:color w:val="000000"/>
        </w:rPr>
      </w:pPr>
      <w:r>
        <w:rPr>
          <w:rFonts w:cs="AIIHDK+TimesNewRoman"/>
          <w:color w:val="000000"/>
        </w:rPr>
        <w:t xml:space="preserve">Le Costituzioni successive del 1617 non fanno che ratificare quelle precedenti con modeste variazioni, quella più appariscente è relativa agli abiti prelatizi del priore e dei </w:t>
      </w:r>
      <w:r w:rsidR="00CD3515">
        <w:rPr>
          <w:rFonts w:cs="AIIHDK+TimesNewRoman"/>
          <w:color w:val="000000"/>
        </w:rPr>
        <w:t>canonici</w:t>
      </w:r>
      <w:r>
        <w:rPr>
          <w:rFonts w:cs="AIIHDK+TimesNewRoman"/>
          <w:color w:val="000000"/>
        </w:rPr>
        <w:t xml:space="preserve"> che li distinguono da quelli del Capitolo della Metropolitana di Firenze. Distinzione che, a parte alcune semplificazioni dovute al Concilio Vaticano II, si è mantenuta pressoché identica fino ai nostri giorni. </w:t>
      </w:r>
    </w:p>
    <w:p w14:paraId="356B1541" w14:textId="77777777" w:rsidR="00A13ECD" w:rsidRDefault="00A13ECD">
      <w:pPr>
        <w:pStyle w:val="NormaleWeb"/>
        <w:jc w:val="both"/>
        <w:rPr>
          <w:rFonts w:cs="AIIHDK+TimesNewRoman"/>
          <w:b/>
          <w:color w:val="000000"/>
        </w:rPr>
      </w:pPr>
      <w:r>
        <w:rPr>
          <w:rFonts w:cs="AIIHDK+TimesNewRoman"/>
          <w:color w:val="000000"/>
        </w:rPr>
        <w:t>Tuttavia le Costituzioni seicentesche raccolgono e valorizzano i canoni tridentini che trovano nella loro edizione diverse citazioni esplicite. Per un lavoro approfondito sui testi del 1566 e del 1617 è utile lo studio del canonista Andrea Drigani già citato all’inizio</w:t>
      </w:r>
      <w:r>
        <w:rPr>
          <w:rStyle w:val="Caratteredellanota"/>
          <w:rFonts w:cs="AIIHDK+TimesNewRoman"/>
          <w:color w:val="000000"/>
        </w:rPr>
        <w:footnoteReference w:id="43"/>
      </w:r>
      <w:r>
        <w:rPr>
          <w:rFonts w:cs="AIIHDK+TimesNewRoman"/>
          <w:color w:val="000000"/>
        </w:rPr>
        <w:t xml:space="preserve"> . Anch’egli attesta più volte che lo sviluppo legislativo delle varie Costituzioni non è stato altro che il risultato dell’adeguamento obbediente alle codificazioni che la Chiesa nel tempo indicava cammin facendo. E’ sorprendente notare che, nonostante l’evoluzione del diritto ecclesiastico, i </w:t>
      </w:r>
      <w:r w:rsidR="00CD3515">
        <w:rPr>
          <w:rFonts w:cs="AIIHDK+TimesNewRoman"/>
          <w:color w:val="000000"/>
        </w:rPr>
        <w:t>canonici</w:t>
      </w:r>
      <w:r>
        <w:rPr>
          <w:rFonts w:cs="AIIHDK+TimesNewRoman"/>
          <w:color w:val="000000"/>
        </w:rPr>
        <w:t xml:space="preserve"> abbiano sempre recepito, con ossequio, tutte le indicazioni legislative della Chiesa, ed abbiano altresì mantenute integre le particolarità dettate dalla forte identità all’interno della realtà religiosa e della storia locale di Firenze, con un costante ed originale alto profilo culturale e pastorale.</w:t>
      </w:r>
    </w:p>
    <w:p w14:paraId="681B3B26" w14:textId="77777777" w:rsidR="00A13ECD" w:rsidRDefault="00A13ECD">
      <w:pPr>
        <w:pStyle w:val="NormaleWeb"/>
        <w:jc w:val="both"/>
        <w:rPr>
          <w:rFonts w:cs="AIIHDK+TimesNewRoman"/>
          <w:color w:val="000000"/>
        </w:rPr>
      </w:pPr>
      <w:r>
        <w:rPr>
          <w:rFonts w:cs="AIIHDK+TimesNewRoman"/>
          <w:b/>
          <w:color w:val="000000"/>
        </w:rPr>
        <w:t>Le Costituzioni Capitolari del 1937</w:t>
      </w:r>
    </w:p>
    <w:p w14:paraId="77B90727" w14:textId="77777777" w:rsidR="00A13ECD" w:rsidRDefault="00A13ECD">
      <w:pPr>
        <w:pStyle w:val="NormaleWeb"/>
        <w:jc w:val="both"/>
        <w:rPr>
          <w:rFonts w:cs="AIIHDK+TimesNewRoman"/>
          <w:color w:val="000000"/>
        </w:rPr>
      </w:pPr>
      <w:r>
        <w:rPr>
          <w:rFonts w:cs="AIIHDK+TimesNewRoman"/>
          <w:color w:val="000000"/>
        </w:rPr>
        <w:t xml:space="preserve">Se si eccettua l’edizione solo tipograficamente rinnovata delle Costituzioni del 1617, il lungo lasso di tempo che intercorre tra le Costituzioni della seconda metà del 1500 - corrispondente al massimo  splendore tardo rinascimentale della Basilica - e quelle pubblicate nella terza decade del secolo XX, appare evidente la permanenza ininterrotta della tradizione spirituale ereditata dal periodo culturale Mediceo fin quasi ai nostri tempi. </w:t>
      </w:r>
    </w:p>
    <w:p w14:paraId="10546805" w14:textId="77777777" w:rsidR="00A13ECD" w:rsidRDefault="00A13ECD">
      <w:pPr>
        <w:pStyle w:val="NormaleWeb"/>
        <w:jc w:val="both"/>
        <w:rPr>
          <w:rFonts w:cs="AIIHDK+TimesNewRoman"/>
          <w:color w:val="000000"/>
        </w:rPr>
      </w:pPr>
      <w:r>
        <w:rPr>
          <w:rFonts w:cs="AIIHDK+TimesNewRoman"/>
          <w:color w:val="000000"/>
        </w:rPr>
        <w:t>La revisione delle Costituzioni di questa nuova edizione in tempo moderno</w:t>
      </w:r>
      <w:r>
        <w:rPr>
          <w:rStyle w:val="Caratteredellanota"/>
          <w:rFonts w:cs="AIIHDK+TimesNewRoman"/>
          <w:color w:val="000000"/>
        </w:rPr>
        <w:footnoteReference w:id="44"/>
      </w:r>
      <w:r>
        <w:rPr>
          <w:rFonts w:cs="AIIHDK+TimesNewRoman"/>
          <w:color w:val="000000"/>
        </w:rPr>
        <w:t xml:space="preserve"> è imposta non tanto da uno sviluppo storico, culturale o religioso, che - abbiamo visto precedentemente - pare essere senza soluzione di continuità, ma da un altro evento straordinario nella Chiesa universale romana: l’emanazione del primo Codice di Diritto Canonico fortemente voluto dal Papa San Pio X e promulgato dal successore Benedetto XV nel 1917. Per la prima volta la Chiesa Cattolica  si dotava di un manuale giuridico completo che codificava in maniera sistematica tutta la sua disciplina. Tuttavia il Codice non sembra modificare in forma sostanzial</w:t>
      </w:r>
      <w:r w:rsidR="00BE4D39">
        <w:rPr>
          <w:rFonts w:cs="AIIHDK+TimesNewRoman"/>
          <w:color w:val="000000"/>
        </w:rPr>
        <w:t>e la realtà dei Capitoli delle c</w:t>
      </w:r>
      <w:r>
        <w:rPr>
          <w:rFonts w:cs="AIIHDK+TimesNewRoman"/>
          <w:color w:val="000000"/>
        </w:rPr>
        <w:t xml:space="preserve">attedrali o delle </w:t>
      </w:r>
      <w:r w:rsidR="00BE4D39">
        <w:rPr>
          <w:rFonts w:cs="AIIHDK+TimesNewRoman"/>
          <w:color w:val="000000"/>
        </w:rPr>
        <w:t>c</w:t>
      </w:r>
      <w:r>
        <w:rPr>
          <w:rFonts w:cs="AIIHDK+TimesNewRoman"/>
          <w:color w:val="000000"/>
        </w:rPr>
        <w:t>ollegiate ma anzi ne legittima il ruolo ed i compiti rinviando alle singole formule statutarie</w:t>
      </w:r>
      <w:r>
        <w:rPr>
          <w:rStyle w:val="Caratteredellanota"/>
          <w:rFonts w:cs="AIIHDK+TimesNewRoman"/>
          <w:color w:val="000000"/>
        </w:rPr>
        <w:footnoteReference w:id="45"/>
      </w:r>
      <w:r>
        <w:rPr>
          <w:rFonts w:cs="AIIHDK+TimesNewRoman"/>
          <w:color w:val="000000"/>
        </w:rPr>
        <w:t xml:space="preserve">. </w:t>
      </w:r>
    </w:p>
    <w:p w14:paraId="11273D3E" w14:textId="77777777" w:rsidR="00A13ECD" w:rsidRDefault="00A13ECD">
      <w:pPr>
        <w:pStyle w:val="NormaleWeb"/>
        <w:jc w:val="both"/>
        <w:rPr>
          <w:rFonts w:cs="AIIHDK+TimesNewRoman"/>
          <w:color w:val="000000"/>
        </w:rPr>
      </w:pPr>
      <w:r>
        <w:rPr>
          <w:rFonts w:cs="AIIHDK+TimesNewRoman"/>
          <w:color w:val="000000"/>
        </w:rPr>
        <w:t>A Firenze la revisione delle Costituzioni Capitolari Laurenziane si impose per diversi importanti motivi. Innanzitutto per la riforma ecclesiastica operata dall’Arcivescovo il Cardinale Elia Dalla Costa e concretizzatasi con il Sinodo Diocesano del 1935, poi per l’evoluzione eccles</w:t>
      </w:r>
      <w:r w:rsidR="00BE4D39">
        <w:rPr>
          <w:rFonts w:cs="AIIHDK+TimesNewRoman"/>
          <w:color w:val="000000"/>
        </w:rPr>
        <w:t>iale a livello pastorale della d</w:t>
      </w:r>
      <w:r>
        <w:rPr>
          <w:rFonts w:cs="AIIHDK+TimesNewRoman"/>
          <w:color w:val="000000"/>
        </w:rPr>
        <w:t xml:space="preserve">iocesi e della </w:t>
      </w:r>
      <w:r w:rsidR="00BE4D39">
        <w:rPr>
          <w:rFonts w:cs="AIIHDK+TimesNewRoman"/>
          <w:color w:val="000000"/>
        </w:rPr>
        <w:t>p</w:t>
      </w:r>
      <w:r>
        <w:rPr>
          <w:rFonts w:cs="AIIHDK+TimesNewRoman"/>
          <w:color w:val="000000"/>
        </w:rPr>
        <w:t xml:space="preserve">arrocchia di San Lorenzo in particolare. Tre effetti occorrono qui soltanto enunciare per comprendere l’opera di modifica: il primo è la soppressione già da diversi decenni della scuola dei chierici poiché ormai il seminario diocesano era da qualche secolo una realtà </w:t>
      </w:r>
      <w:r>
        <w:rPr>
          <w:rFonts w:cs="AIIHDK+TimesNewRoman"/>
          <w:color w:val="000000"/>
        </w:rPr>
        <w:lastRenderedPageBreak/>
        <w:t>più che efficiente per provvedere alla preparazione dei futuri presbiteri diocesani. Il Cardinale Dalla Costa tuttavia imprimerà una nuova svolta alla preparazione dei chierici agli Ordini Sacri mediante l’istituzione nel 1938 di un unico seminario diocesano nelle due sezioni di maggiore e minore</w:t>
      </w:r>
      <w:r>
        <w:rPr>
          <w:rStyle w:val="Caratteredellanota"/>
          <w:rFonts w:cs="AIIHDK+TimesNewRoman"/>
          <w:color w:val="000000"/>
        </w:rPr>
        <w:footnoteReference w:id="46"/>
      </w:r>
      <w:r>
        <w:rPr>
          <w:rFonts w:cs="AIIHDK+TimesNewRoman"/>
          <w:color w:val="000000"/>
        </w:rPr>
        <w:t xml:space="preserve">. </w:t>
      </w:r>
    </w:p>
    <w:p w14:paraId="29653A8F" w14:textId="77777777" w:rsidR="00A13ECD" w:rsidRDefault="00A13ECD">
      <w:pPr>
        <w:pStyle w:val="NormaleWeb"/>
        <w:jc w:val="both"/>
        <w:rPr>
          <w:rFonts w:cs="AIIHDK+TimesNewRoman"/>
          <w:color w:val="000000"/>
        </w:rPr>
      </w:pPr>
      <w:r>
        <w:rPr>
          <w:rFonts w:cs="AIIHDK+TimesNewRoman"/>
          <w:color w:val="000000"/>
        </w:rPr>
        <w:t xml:space="preserve">Un secondo elemento è costituito dalla nomina del priore mitrato nonché parroco della Basilica di San Lorenzo con la codificazione del </w:t>
      </w:r>
      <w:r>
        <w:rPr>
          <w:rFonts w:cs="AIIHDK+TimesNewRoman"/>
          <w:i/>
          <w:color w:val="000000"/>
        </w:rPr>
        <w:t>nulla osta</w:t>
      </w:r>
      <w:r>
        <w:rPr>
          <w:rFonts w:cs="AIIHDK+TimesNewRoman"/>
          <w:color w:val="000000"/>
        </w:rPr>
        <w:t xml:space="preserve"> da parte dell’Ordinario diocesano. Sappiamo che già nei decenni precedenti occorreva l’autorizzazione del Vescovo fiorentino ma esso era quasi un atto dovuto dopo il</w:t>
      </w:r>
      <w:r w:rsidRPr="00BE4D39">
        <w:rPr>
          <w:rFonts w:cs="AIIHDK+TimesNewRoman"/>
          <w:i/>
          <w:color w:val="000000"/>
        </w:rPr>
        <w:t xml:space="preserve"> placet</w:t>
      </w:r>
      <w:r>
        <w:rPr>
          <w:rFonts w:cs="AIIHDK+TimesNewRoman"/>
          <w:color w:val="000000"/>
        </w:rPr>
        <w:t xml:space="preserve"> del sovrano e dei vari patronati.  Con le Costituzioni del 1937 tale prassi diventa vincolante. Va ricordato, inoltre, che le ultime nomine della fine del XIX e XX sono tutte ad opera dell’Arcivescovo in quanto spesso la terna o il candidato proposto dai </w:t>
      </w:r>
      <w:r w:rsidR="00CD3515">
        <w:rPr>
          <w:rFonts w:cs="AIIHDK+TimesNewRoman"/>
          <w:color w:val="000000"/>
        </w:rPr>
        <w:t>Canonici</w:t>
      </w:r>
      <w:r>
        <w:rPr>
          <w:rFonts w:cs="AIIHDK+TimesNewRoman"/>
          <w:color w:val="000000"/>
        </w:rPr>
        <w:t xml:space="preserve"> difficilmente raggiungeva un considerevole</w:t>
      </w:r>
      <w:r>
        <w:rPr>
          <w:rFonts w:cs="AIIHDK+TimesNewRoman"/>
          <w:i/>
          <w:color w:val="000000"/>
        </w:rPr>
        <w:t xml:space="preserve"> quorum</w:t>
      </w:r>
      <w:r>
        <w:rPr>
          <w:rFonts w:cs="AIIHDK+TimesNewRoman"/>
          <w:color w:val="000000"/>
        </w:rPr>
        <w:t xml:space="preserve"> oppure nelle ultime elezioni della prima metà del XX secolo diversi dei nominati avevano rifiutato di accettare la prestigiosa ma onerosa nomina e, dato il protrarsi della vacanza della Parrocchia, aveva provveduto direttamente il vescovo con l’approvazione successiva da parte dei </w:t>
      </w:r>
      <w:r w:rsidR="00CD3515">
        <w:rPr>
          <w:rFonts w:cs="AIIHDK+TimesNewRoman"/>
          <w:color w:val="000000"/>
        </w:rPr>
        <w:t>canonici</w:t>
      </w:r>
      <w:r>
        <w:rPr>
          <w:rFonts w:cs="AIIHDK+TimesNewRoman"/>
          <w:color w:val="000000"/>
        </w:rPr>
        <w:t xml:space="preserve"> laurenziani (emblematic</w:t>
      </w:r>
      <w:r w:rsidR="00BE4D39">
        <w:rPr>
          <w:rFonts w:cs="AIIHDK+TimesNewRoman"/>
          <w:color w:val="000000"/>
        </w:rPr>
        <w:t>he al riguardo le elezioni dei p</w:t>
      </w:r>
      <w:r>
        <w:rPr>
          <w:rFonts w:cs="AIIHDK+TimesNewRoman"/>
          <w:color w:val="000000"/>
        </w:rPr>
        <w:t xml:space="preserve">riori </w:t>
      </w:r>
      <w:r w:rsidR="00BE4D39">
        <w:rPr>
          <w:rFonts w:cs="AIIHDK+TimesNewRoman"/>
          <w:color w:val="000000"/>
        </w:rPr>
        <w:t>m</w:t>
      </w:r>
      <w:r>
        <w:rPr>
          <w:rFonts w:cs="AIIHDK+TimesNewRoman"/>
          <w:color w:val="000000"/>
        </w:rPr>
        <w:t>itrati Giovannini, Rosselli e Capretti)</w:t>
      </w:r>
      <w:r>
        <w:rPr>
          <w:rStyle w:val="Caratteredellanota"/>
          <w:rFonts w:cs="AIIHDK+TimesNewRoman"/>
          <w:color w:val="000000"/>
        </w:rPr>
        <w:footnoteReference w:id="47"/>
      </w:r>
      <w:r>
        <w:rPr>
          <w:rFonts w:cs="AIIHDK+TimesNewRoman"/>
          <w:color w:val="000000"/>
        </w:rPr>
        <w:t xml:space="preserve">. </w:t>
      </w:r>
    </w:p>
    <w:p w14:paraId="2B843AEB" w14:textId="77777777" w:rsidR="00A13ECD" w:rsidRDefault="00A13ECD">
      <w:pPr>
        <w:pStyle w:val="NormaleWeb"/>
        <w:jc w:val="both"/>
        <w:rPr>
          <w:rFonts w:cs="AIIHDK+TimesNewRoman"/>
          <w:color w:val="000000"/>
        </w:rPr>
      </w:pPr>
      <w:r>
        <w:rPr>
          <w:rFonts w:cs="AIIHDK+TimesNewRoman"/>
          <w:color w:val="000000"/>
        </w:rPr>
        <w:t>Un ultimo dato rilevante si registra con il passaggio di proprietà di alcuni considerevoli beni immobili e mobili e relativi benefici della Basilica con le cosiddette “leggi eversive” del 1867 che impressero una nuova configurazione giuridica. La Biblioteca Laurenziana e le Cappelle Medicee divennero proprietà dello Stato e quindi sottratte all’amministrazione capitolare</w:t>
      </w:r>
      <w:r>
        <w:rPr>
          <w:rStyle w:val="Caratteredellanota"/>
          <w:rFonts w:cs="AIIHDK+TimesNewRoman"/>
          <w:color w:val="000000"/>
        </w:rPr>
        <w:footnoteReference w:id="48"/>
      </w:r>
      <w:r>
        <w:rPr>
          <w:rFonts w:cs="AIIHDK+TimesNewRoman"/>
          <w:color w:val="000000"/>
        </w:rPr>
        <w:t>. Infine, l’istituzione dell’Opera Medicea Laurenziana nel 1907 impresse una svolta nelle mansioni e nelle responsabilità finora espletate collegialmente ed esc</w:t>
      </w:r>
      <w:r w:rsidR="00BE4D39">
        <w:rPr>
          <w:rFonts w:cs="AIIHDK+TimesNewRoman"/>
          <w:color w:val="000000"/>
        </w:rPr>
        <w:t>lusivamente dal Capitolo e dal priore m</w:t>
      </w:r>
      <w:r>
        <w:rPr>
          <w:rFonts w:cs="AIIHDK+TimesNewRoman"/>
          <w:color w:val="000000"/>
        </w:rPr>
        <w:t xml:space="preserve">itrato </w:t>
      </w:r>
      <w:r>
        <w:rPr>
          <w:rStyle w:val="Caratteredellanota"/>
          <w:rFonts w:cs="AIIHDK+TimesNewRoman"/>
          <w:color w:val="000000"/>
        </w:rPr>
        <w:footnoteReference w:id="49"/>
      </w:r>
      <w:r>
        <w:rPr>
          <w:rFonts w:cs="AIIHDK+TimesNewRoman"/>
          <w:color w:val="000000"/>
        </w:rPr>
        <w:t>. Tali cambiamenti portarono il Capitolo inizialmente ad una fase di smarrimento e di indecisione nell’attesa di eventuali nuove evoluzioni. Sintomatico il fatto che il priorato della Basilica rimase vacante per diversi anni. Anche con la nomina del Priore Giovannini da parte dell’Arcivescovo,  le cose non si chiarirono del tutto e solo con il Priore Rosselli, dopo il Concordato tra Stato italiano e  Chiesa cattolica in Italia, il Capitolo tentò una propria riorganizzazione che sfociò appunto nelle Costituzioni approvate dal Cardinale Dalla Costa</w:t>
      </w:r>
      <w:r>
        <w:rPr>
          <w:rStyle w:val="Caratteredellanota"/>
          <w:rFonts w:cs="AIIHDK+TimesNewRoman"/>
          <w:color w:val="000000"/>
        </w:rPr>
        <w:footnoteReference w:id="50"/>
      </w:r>
      <w:r>
        <w:rPr>
          <w:rFonts w:cs="AIIHDK+TimesNewRoman"/>
          <w:color w:val="000000"/>
        </w:rPr>
        <w:t>.</w:t>
      </w:r>
    </w:p>
    <w:p w14:paraId="0AD52157" w14:textId="77777777" w:rsidR="00A13ECD" w:rsidRDefault="00A13ECD">
      <w:pPr>
        <w:pStyle w:val="NormaleWeb"/>
        <w:jc w:val="both"/>
        <w:rPr>
          <w:rFonts w:cs="AIIHDK+TimesNewRoman"/>
          <w:color w:val="000000"/>
        </w:rPr>
      </w:pPr>
      <w:r>
        <w:rPr>
          <w:rFonts w:cs="AIIHDK+TimesNewRoman"/>
          <w:color w:val="000000"/>
        </w:rPr>
        <w:t xml:space="preserve">La prima novità delle Costituzioni, oltre che aver cambiato l’intestazione in Reale Basilica perché riferita al Regno d’Italia sotto Casa Savoia, ed il riferimento all’epoca cronologica fascista, è il fatto che sono redatte in lingua italiana. Graficamente  si presentano assai modeste nonostante la bella bolla di approvazione (questa in latino) del Cardinale Dalla Costa. </w:t>
      </w:r>
    </w:p>
    <w:p w14:paraId="2D6CC386" w14:textId="77777777" w:rsidR="00A13ECD" w:rsidRDefault="00A13ECD">
      <w:pPr>
        <w:pStyle w:val="NormaleWeb"/>
        <w:jc w:val="both"/>
        <w:rPr>
          <w:rFonts w:cs="AIIHDK+TimesNewRoman"/>
          <w:color w:val="000000"/>
        </w:rPr>
      </w:pPr>
      <w:r>
        <w:rPr>
          <w:rFonts w:cs="AIIHDK+TimesNewRoman"/>
          <w:color w:val="000000"/>
        </w:rPr>
        <w:t xml:space="preserve">I primi capitoli sono la letterale traduzione del </w:t>
      </w:r>
      <w:r>
        <w:rPr>
          <w:rFonts w:cs="AIIHDK+TimesNewRoman"/>
          <w:i/>
          <w:color w:val="000000"/>
        </w:rPr>
        <w:t>proemio</w:t>
      </w:r>
      <w:r>
        <w:rPr>
          <w:rFonts w:cs="AIIHDK+TimesNewRoman"/>
          <w:color w:val="000000"/>
        </w:rPr>
        <w:t xml:space="preserve"> delle Costituzioni cinquecentesche con l’aggiunta degli ultimi privilegi al priore e ai </w:t>
      </w:r>
      <w:r w:rsidR="00CD3515">
        <w:rPr>
          <w:rFonts w:cs="AIIHDK+TimesNewRoman"/>
          <w:color w:val="000000"/>
        </w:rPr>
        <w:t>canonici</w:t>
      </w:r>
      <w:r>
        <w:rPr>
          <w:rFonts w:cs="AIIHDK+TimesNewRoman"/>
          <w:color w:val="000000"/>
        </w:rPr>
        <w:t xml:space="preserve"> concessi dai Sommi Pontefici. Tali privilegi sono relativi esclusivamente alla liturgia e agli abiti canonicali che prevedevano l’uso della cappa magna, la mantelletta o l’almuzia nell’inverno, sopra la tonaca filettata color cremisi, l’uso del rocc</w:t>
      </w:r>
      <w:r w:rsidR="008D00C3">
        <w:rPr>
          <w:rFonts w:cs="AIIHDK+TimesNewRoman"/>
          <w:color w:val="000000"/>
        </w:rPr>
        <w:t>h</w:t>
      </w:r>
      <w:r>
        <w:rPr>
          <w:rFonts w:cs="AIIHDK+TimesNewRoman"/>
          <w:color w:val="000000"/>
        </w:rPr>
        <w:t xml:space="preserve">etto, l’anello capitolare, la croce pettorale raggiata con nastro paonazzo, il fiocco al cappello </w:t>
      </w:r>
      <w:r>
        <w:rPr>
          <w:rFonts w:cs="AIIHDK+TimesNewRoman"/>
          <w:color w:val="000000"/>
        </w:rPr>
        <w:lastRenderedPageBreak/>
        <w:t xml:space="preserve">della forma del tipo prelatizio ma di color nero, il collare violaceo, nonché un uso maggiore delle insegne episcopali nei riti pontificali presieduti dal priore. </w:t>
      </w:r>
    </w:p>
    <w:p w14:paraId="4095B902" w14:textId="77777777" w:rsidR="00A13ECD" w:rsidRDefault="00A13ECD">
      <w:pPr>
        <w:pStyle w:val="NormaleWeb"/>
        <w:jc w:val="both"/>
        <w:rPr>
          <w:rFonts w:cs="AIIHDK+TimesNewRoman"/>
          <w:color w:val="000000"/>
        </w:rPr>
      </w:pPr>
      <w:r>
        <w:rPr>
          <w:rFonts w:cs="AIIHDK+TimesNewRoman"/>
          <w:color w:val="000000"/>
        </w:rPr>
        <w:t>Vi è un</w:t>
      </w:r>
      <w:r w:rsidR="008D00C3">
        <w:rPr>
          <w:rFonts w:cs="AIIHDK+TimesNewRoman"/>
          <w:color w:val="000000"/>
        </w:rPr>
        <w:t>a</w:t>
      </w:r>
      <w:r>
        <w:rPr>
          <w:rFonts w:cs="AIIHDK+TimesNewRoman"/>
          <w:color w:val="000000"/>
        </w:rPr>
        <w:t xml:space="preserve"> netta riduzione dei capitoli che sommano a trentatre mentre le precedenti Costituzioni erano quasi il doppio. Questo è da imputare alla diminuzione delle mansioni di pertinenza del Capitolo ed un rimando alla disciplina ecclesiastica del nuovo Codice e alle varie disposizioni del Diritto del magistero sia papale che episcopale o ai singoli regolamenti interni (i compiti nella Sacrestia, nei servizi liturgici, ecc.). </w:t>
      </w:r>
    </w:p>
    <w:p w14:paraId="4AE74696" w14:textId="77777777" w:rsidR="00A13ECD" w:rsidRDefault="00A13ECD">
      <w:pPr>
        <w:pStyle w:val="NormaleWeb"/>
        <w:jc w:val="both"/>
        <w:rPr>
          <w:rFonts w:cs="AIIHDK+TimesNewRoman"/>
          <w:color w:val="000000"/>
        </w:rPr>
      </w:pPr>
      <w:r>
        <w:rPr>
          <w:rFonts w:cs="AIIHDK+TimesNewRoman"/>
          <w:color w:val="000000"/>
        </w:rPr>
        <w:t>Tra i dati rilevanti vi è l’introduzione della figura del vicario capitolare, per ovviare ad una lunga vacanza della sede del Priorato, come del resto avvenuto qualche decennio prima</w:t>
      </w:r>
      <w:r>
        <w:rPr>
          <w:rStyle w:val="Caratteredellanota"/>
          <w:rFonts w:cs="AIIHDK+TimesNewRoman"/>
          <w:color w:val="000000"/>
        </w:rPr>
        <w:footnoteReference w:id="51"/>
      </w:r>
      <w:r>
        <w:rPr>
          <w:rFonts w:cs="AIIHDK+TimesNewRoman"/>
          <w:color w:val="000000"/>
        </w:rPr>
        <w:t>.</w:t>
      </w:r>
    </w:p>
    <w:p w14:paraId="258BBF90" w14:textId="77777777" w:rsidR="00A13ECD" w:rsidRDefault="00A13ECD">
      <w:pPr>
        <w:pStyle w:val="NormaleWeb"/>
        <w:jc w:val="both"/>
        <w:rPr>
          <w:rFonts w:cs="AIIHDK+TimesNewRoman"/>
          <w:color w:val="000000"/>
        </w:rPr>
      </w:pPr>
      <w:r>
        <w:rPr>
          <w:rFonts w:cs="AIIHDK+TimesNewRoman"/>
          <w:color w:val="000000"/>
        </w:rPr>
        <w:t xml:space="preserve">Altro elemento degno di nota è che nelle Costituzioni dell’era moderna, l’elezione del priore non aveva più, come nei secoli passati, il patronato (quindi la relativa autorizzazione o veto) da parte delle famiglie patrizie fiorentine né ovviamente della ormai estinta famiglia Medici. Per la validità dell’elezione del priore diventava comunque indispensabile l’approvazione dell’Ordinario diocesano ma sempre su espressa votazione dei </w:t>
      </w:r>
      <w:r w:rsidR="00CD3515">
        <w:rPr>
          <w:rFonts w:cs="AIIHDK+TimesNewRoman"/>
          <w:color w:val="000000"/>
        </w:rPr>
        <w:t>canonici</w:t>
      </w:r>
      <w:r>
        <w:rPr>
          <w:rFonts w:cs="AIIHDK+TimesNewRoman"/>
          <w:color w:val="000000"/>
        </w:rPr>
        <w:t xml:space="preserve"> e con il </w:t>
      </w:r>
      <w:r>
        <w:rPr>
          <w:rFonts w:cs="AIIHDK+TimesNewRoman"/>
          <w:i/>
          <w:color w:val="000000"/>
        </w:rPr>
        <w:t>quorum</w:t>
      </w:r>
      <w:r>
        <w:rPr>
          <w:rFonts w:cs="AIIHDK+TimesNewRoman"/>
          <w:color w:val="000000"/>
        </w:rPr>
        <w:t xml:space="preserve"> prescritto dal </w:t>
      </w:r>
      <w:r w:rsidR="00BE4D39">
        <w:rPr>
          <w:rFonts w:cs="AIIHDK+TimesNewRoman"/>
          <w:color w:val="000000"/>
        </w:rPr>
        <w:t>Codice di Diritto Canonico</w:t>
      </w:r>
      <w:r>
        <w:rPr>
          <w:rFonts w:cs="AIIHDK+TimesNewRoman"/>
          <w:color w:val="000000"/>
        </w:rPr>
        <w:t xml:space="preserve">. </w:t>
      </w:r>
      <w:r>
        <w:rPr>
          <w:rStyle w:val="Caratteredellanota"/>
          <w:rFonts w:cs="AIIHDK+TimesNewRoman"/>
          <w:color w:val="000000"/>
        </w:rPr>
        <w:footnoteReference w:id="52"/>
      </w:r>
    </w:p>
    <w:p w14:paraId="7D40AD55" w14:textId="77777777" w:rsidR="00A13ECD" w:rsidRDefault="00A13ECD">
      <w:pPr>
        <w:pStyle w:val="NormaleWeb"/>
        <w:jc w:val="both"/>
        <w:rPr>
          <w:rFonts w:cs="AIIHDK+TimesNewRoman"/>
          <w:color w:val="000000"/>
        </w:rPr>
      </w:pPr>
      <w:r>
        <w:rPr>
          <w:rFonts w:cs="AIIHDK+TimesNewRoman"/>
          <w:color w:val="000000"/>
        </w:rPr>
        <w:t xml:space="preserve">I compiti e i diritti dei </w:t>
      </w:r>
      <w:r w:rsidR="00CD3515">
        <w:rPr>
          <w:rFonts w:cs="AIIHDK+TimesNewRoman"/>
          <w:color w:val="000000"/>
        </w:rPr>
        <w:t>canonici</w:t>
      </w:r>
      <w:r>
        <w:rPr>
          <w:rFonts w:cs="AIIHDK+TimesNewRoman"/>
          <w:color w:val="000000"/>
        </w:rPr>
        <w:t xml:space="preserve">, così come quelli del priore, invece, risultano invariati dalle Costituzioni precedenti e moltissimi sono i richiami ai canoni delle Costituzioni del 1617 che a loro volta si rifanno, come già detto, a quelle del 1566. </w:t>
      </w:r>
    </w:p>
    <w:p w14:paraId="354694A9" w14:textId="77777777" w:rsidR="00A13ECD" w:rsidRDefault="00A13ECD">
      <w:pPr>
        <w:pStyle w:val="NormaleWeb"/>
        <w:jc w:val="both"/>
        <w:rPr>
          <w:rFonts w:cs="AIIHDK+TimesNewRoman"/>
          <w:color w:val="000000"/>
        </w:rPr>
      </w:pPr>
      <w:r>
        <w:rPr>
          <w:rFonts w:cs="AIIHDK+TimesNewRoman"/>
          <w:color w:val="000000"/>
        </w:rPr>
        <w:t xml:space="preserve">L’amministrazione patrimoniale spettava al priore coadiuvato da due camarlinghi (già denominati </w:t>
      </w:r>
      <w:r>
        <w:rPr>
          <w:rFonts w:cs="AIIHDK+TimesNewRoman"/>
          <w:i/>
          <w:color w:val="000000"/>
        </w:rPr>
        <w:t>camerari</w:t>
      </w:r>
      <w:r w:rsidR="00BE4D39">
        <w:rPr>
          <w:rFonts w:cs="AIIHDK+TimesNewRoman"/>
          <w:color w:val="000000"/>
        </w:rPr>
        <w:t xml:space="preserve">), tuttavia </w:t>
      </w:r>
      <w:r>
        <w:rPr>
          <w:rFonts w:cs="AIIHDK+TimesNewRoman"/>
          <w:color w:val="000000"/>
        </w:rPr>
        <w:t>non</w:t>
      </w:r>
      <w:r w:rsidR="00BE4D39">
        <w:rPr>
          <w:rFonts w:cs="AIIHDK+TimesNewRoman"/>
          <w:color w:val="000000"/>
        </w:rPr>
        <w:t xml:space="preserve"> si</w:t>
      </w:r>
      <w:r>
        <w:rPr>
          <w:rFonts w:cs="AIIHDK+TimesNewRoman"/>
          <w:color w:val="000000"/>
        </w:rPr>
        <w:t xml:space="preserve"> tralascia di ricordare, un po’ polemicamente, l’estinzione delle prebende canonicali avvenute con la legge del 1867 e l’istituzione quindi di nuovi titoli canonicali e nuove cappellanie</w:t>
      </w:r>
      <w:r>
        <w:rPr>
          <w:rStyle w:val="Caratteredellanota"/>
          <w:rFonts w:cs="AIIHDK+TimesNewRoman"/>
          <w:color w:val="000000"/>
        </w:rPr>
        <w:footnoteReference w:id="53"/>
      </w:r>
      <w:r>
        <w:rPr>
          <w:rFonts w:cs="AIIHDK+TimesNewRoman"/>
          <w:color w:val="000000"/>
        </w:rPr>
        <w:t>. Va ascritto al priore Giovannini il merito di aver ricostituito i dodici tradizionali canonicati ed il collegio dei cappellani seppur in numero assai ridotto.</w:t>
      </w:r>
    </w:p>
    <w:p w14:paraId="6FC1D7C1" w14:textId="77777777" w:rsidR="00A13ECD" w:rsidRDefault="00A13ECD">
      <w:pPr>
        <w:pStyle w:val="NormaleWeb"/>
        <w:jc w:val="both"/>
        <w:rPr>
          <w:rFonts w:cs="AIIHDK+TimesNewRoman"/>
          <w:color w:val="000000"/>
        </w:rPr>
      </w:pPr>
      <w:r>
        <w:rPr>
          <w:rFonts w:cs="AIIHDK+TimesNewRoman"/>
          <w:color w:val="000000"/>
        </w:rPr>
        <w:t>Le norme sui cappellani rivelano una brusca diminuzione giustificata dal mutato ordinamento civile per cui da quarantanove cappellanie l’ordinamento regio del 1924 ne riconosce solo otto: quattro cappellani curati e quattro rispettivamente col ruolo di sacrista, maestro del coro, cantore ed ebdomadario</w:t>
      </w:r>
      <w:r>
        <w:rPr>
          <w:rStyle w:val="Caratteredellanota"/>
          <w:rFonts w:cs="AIIHDK+TimesNewRoman"/>
          <w:color w:val="000000"/>
        </w:rPr>
        <w:footnoteReference w:id="54"/>
      </w:r>
      <w:r>
        <w:rPr>
          <w:rFonts w:cs="AIIHDK+TimesNewRoman"/>
          <w:color w:val="000000"/>
        </w:rPr>
        <w:t>.</w:t>
      </w:r>
    </w:p>
    <w:p w14:paraId="7A7F0870" w14:textId="77777777" w:rsidR="00A13ECD" w:rsidRDefault="00A13ECD">
      <w:pPr>
        <w:pStyle w:val="NormaleWeb"/>
        <w:jc w:val="both"/>
        <w:rPr>
          <w:rFonts w:cs="AIIHDK+TimesNewRoman"/>
          <w:color w:val="000000"/>
        </w:rPr>
      </w:pPr>
      <w:r>
        <w:rPr>
          <w:rFonts w:cs="AIIHDK+TimesNewRoman"/>
          <w:color w:val="000000"/>
        </w:rPr>
        <w:t xml:space="preserve">Permane ancora la possibilità dell’ospitalità dei </w:t>
      </w:r>
      <w:r w:rsidR="00CD3515">
        <w:rPr>
          <w:rFonts w:cs="AIIHDK+TimesNewRoman"/>
          <w:color w:val="000000"/>
        </w:rPr>
        <w:t>canonici</w:t>
      </w:r>
      <w:r>
        <w:rPr>
          <w:rFonts w:cs="AIIHDK+TimesNewRoman"/>
          <w:color w:val="000000"/>
        </w:rPr>
        <w:t xml:space="preserve"> e dei cappellani presso gli ambienti nel chiostro monumentale della Basilica a seconda della disponibilità dei posti ed è curiosa la disposizione che ogni canonico può tene</w:t>
      </w:r>
      <w:r w:rsidR="00BE4D39">
        <w:rPr>
          <w:rFonts w:cs="AIIHDK+TimesNewRoman"/>
          <w:color w:val="000000"/>
        </w:rPr>
        <w:t>re nel suo giardino non più di sei</w:t>
      </w:r>
      <w:r>
        <w:rPr>
          <w:rFonts w:cs="AIIHDK+TimesNewRoman"/>
          <w:color w:val="000000"/>
        </w:rPr>
        <w:t xml:space="preserve"> galline e non più di tre coppie di piccioni. </w:t>
      </w:r>
    </w:p>
    <w:p w14:paraId="76739E28" w14:textId="77777777" w:rsidR="00A13ECD" w:rsidRDefault="00A13ECD">
      <w:pPr>
        <w:pStyle w:val="NormaleWeb"/>
        <w:jc w:val="both"/>
        <w:rPr>
          <w:rFonts w:cs="AIIHDK+TimesNewRoman"/>
          <w:color w:val="000000"/>
        </w:rPr>
      </w:pPr>
      <w:r>
        <w:rPr>
          <w:rFonts w:cs="AIIHDK+TimesNewRoman"/>
          <w:color w:val="000000"/>
        </w:rPr>
        <w:t xml:space="preserve">Non si parla più di vita comune. Il priore mitrato, del resto, in quel periodo abitava già negli ambienti comuni riservati alla vita dei </w:t>
      </w:r>
      <w:r w:rsidR="00CD3515">
        <w:rPr>
          <w:rFonts w:cs="AIIHDK+TimesNewRoman"/>
          <w:color w:val="000000"/>
        </w:rPr>
        <w:t>canonici</w:t>
      </w:r>
      <w:r>
        <w:rPr>
          <w:rFonts w:cs="AIIHDK+TimesNewRoman"/>
          <w:color w:val="000000"/>
        </w:rPr>
        <w:t xml:space="preserve"> essendo stato alienato da tempo il grande palazzo prospiciente la Basilica. Pertanto</w:t>
      </w:r>
      <w:r w:rsidR="00BE4D39">
        <w:rPr>
          <w:rFonts w:cs="AIIHDK+TimesNewRoman"/>
          <w:color w:val="000000"/>
        </w:rPr>
        <w:t>,</w:t>
      </w:r>
      <w:r>
        <w:rPr>
          <w:rFonts w:cs="AIIHDK+TimesNewRoman"/>
          <w:color w:val="000000"/>
        </w:rPr>
        <w:t xml:space="preserve"> vuoi per l’identità sacerdotale post tridentina che privilegiava la “solitudine” del prete, vuoi la mancanza di spazi per la vita comunitaria, questo aspetto venne sempre più meno. Rimaneva</w:t>
      </w:r>
      <w:r w:rsidR="00BE4D39">
        <w:rPr>
          <w:rFonts w:cs="AIIHDK+TimesNewRoman"/>
          <w:color w:val="000000"/>
        </w:rPr>
        <w:t>,</w:t>
      </w:r>
      <w:r>
        <w:rPr>
          <w:rFonts w:cs="AIIHDK+TimesNewRoman"/>
          <w:color w:val="000000"/>
        </w:rPr>
        <w:t xml:space="preserve"> comunque</w:t>
      </w:r>
      <w:r w:rsidR="00BE4D39">
        <w:rPr>
          <w:rFonts w:cs="AIIHDK+TimesNewRoman"/>
          <w:color w:val="000000"/>
        </w:rPr>
        <w:t>,</w:t>
      </w:r>
      <w:r>
        <w:rPr>
          <w:rFonts w:cs="AIIHDK+TimesNewRoman"/>
          <w:color w:val="000000"/>
        </w:rPr>
        <w:t xml:space="preserve"> ben viva la partecipazione ai molti atti comuni liturgici che affollavano l’orario </w:t>
      </w:r>
      <w:r>
        <w:rPr>
          <w:rFonts w:cs="AIIHDK+TimesNewRoman"/>
          <w:color w:val="000000"/>
        </w:rPr>
        <w:lastRenderedPageBreak/>
        <w:t xml:space="preserve">e la giornata dei </w:t>
      </w:r>
      <w:r w:rsidR="00CD3515">
        <w:rPr>
          <w:rFonts w:cs="AIIHDK+TimesNewRoman"/>
          <w:color w:val="000000"/>
        </w:rPr>
        <w:t>canonici</w:t>
      </w:r>
      <w:r>
        <w:rPr>
          <w:rFonts w:cs="AIIHDK+TimesNewRoman"/>
          <w:color w:val="000000"/>
        </w:rPr>
        <w:t>. Inoltre</w:t>
      </w:r>
      <w:r w:rsidR="00BE4D39">
        <w:rPr>
          <w:rFonts w:cs="AIIHDK+TimesNewRoman"/>
          <w:color w:val="000000"/>
        </w:rPr>
        <w:t>,</w:t>
      </w:r>
      <w:r>
        <w:rPr>
          <w:rFonts w:cs="AIIHDK+TimesNewRoman"/>
          <w:color w:val="000000"/>
        </w:rPr>
        <w:t xml:space="preserve"> data ancora l’abbondanza di sacerdoti nella diocesi fiorentina</w:t>
      </w:r>
      <w:r w:rsidR="00BE4D39">
        <w:rPr>
          <w:rFonts w:cs="AIIHDK+TimesNewRoman"/>
          <w:color w:val="000000"/>
        </w:rPr>
        <w:t>,</w:t>
      </w:r>
      <w:r>
        <w:rPr>
          <w:rFonts w:cs="AIIHDK+TimesNewRoman"/>
          <w:color w:val="000000"/>
        </w:rPr>
        <w:t xml:space="preserve"> in Basilica abitavano in quegli anni almeno una decina tra </w:t>
      </w:r>
      <w:r w:rsidR="00CD3515">
        <w:rPr>
          <w:rFonts w:cs="AIIHDK+TimesNewRoman"/>
          <w:color w:val="000000"/>
        </w:rPr>
        <w:t>canonici</w:t>
      </w:r>
      <w:r>
        <w:rPr>
          <w:rFonts w:cs="AIIHDK+TimesNewRoman"/>
          <w:color w:val="000000"/>
        </w:rPr>
        <w:t xml:space="preserve"> e cappellani</w:t>
      </w:r>
      <w:r>
        <w:rPr>
          <w:rStyle w:val="Caratteredellanota"/>
          <w:rFonts w:cs="AIIHDK+TimesNewRoman"/>
          <w:color w:val="000000"/>
        </w:rPr>
        <w:footnoteReference w:id="55"/>
      </w:r>
      <w:r>
        <w:rPr>
          <w:rFonts w:cs="AIIHDK+TimesNewRoman"/>
          <w:color w:val="000000"/>
        </w:rPr>
        <w:t>.</w:t>
      </w:r>
    </w:p>
    <w:p w14:paraId="4C874CE8" w14:textId="77777777" w:rsidR="00A13ECD" w:rsidRDefault="00A13ECD">
      <w:pPr>
        <w:pStyle w:val="NormaleWeb"/>
        <w:jc w:val="both"/>
        <w:rPr>
          <w:rStyle w:val="Enfasicorsivo"/>
          <w:i w:val="0"/>
          <w:color w:val="000000"/>
        </w:rPr>
      </w:pPr>
      <w:r>
        <w:rPr>
          <w:rFonts w:cs="AIIHDK+TimesNewRoman"/>
          <w:color w:val="000000"/>
        </w:rPr>
        <w:t xml:space="preserve">Novità assoluta è la manutenzione straordinaria ed ordinaria dei locali dei </w:t>
      </w:r>
      <w:r w:rsidR="00CD3515">
        <w:rPr>
          <w:rFonts w:cs="AIIHDK+TimesNewRoman"/>
          <w:color w:val="000000"/>
        </w:rPr>
        <w:t>canonici</w:t>
      </w:r>
      <w:r>
        <w:rPr>
          <w:rFonts w:cs="AIIHDK+TimesNewRoman"/>
          <w:color w:val="000000"/>
        </w:rPr>
        <w:t xml:space="preserve"> da parte dell’ Opera Medicea Laurenziana, come sappiamo fondata dal priore Giovannini nel 1907 per recuperare un minimo di controllo e di referenzialità sugli ambienti passati al Demanio e</w:t>
      </w:r>
      <w:r>
        <w:rPr>
          <w:color w:val="000000"/>
        </w:rPr>
        <w:t xml:space="preserve"> con lo scopo di "</w:t>
      </w:r>
      <w:r>
        <w:rPr>
          <w:rStyle w:val="Enfasicorsivo"/>
          <w:color w:val="000000"/>
        </w:rPr>
        <w:t xml:space="preserve">restituire l'unità e il decoro antico al Monumento Laurenziano, curandone la manutenzione ordinaria e straordinaria", </w:t>
      </w:r>
      <w:r>
        <w:rPr>
          <w:rStyle w:val="Enfasicorsivo"/>
          <w:i w:val="0"/>
          <w:color w:val="000000"/>
        </w:rPr>
        <w:t xml:space="preserve">recita </w:t>
      </w:r>
      <w:r>
        <w:rPr>
          <w:rStyle w:val="Enfasicorsivo"/>
          <w:color w:val="000000"/>
        </w:rPr>
        <w:t>ancora oggi lo Statuto.</w:t>
      </w:r>
    </w:p>
    <w:p w14:paraId="7D9E3B2A" w14:textId="77777777" w:rsidR="00A13ECD" w:rsidRDefault="00A13ECD">
      <w:pPr>
        <w:pStyle w:val="NormaleWeb"/>
        <w:jc w:val="both"/>
        <w:rPr>
          <w:rStyle w:val="Enfasicorsivo"/>
          <w:color w:val="000000"/>
        </w:rPr>
      </w:pPr>
      <w:r>
        <w:rPr>
          <w:rStyle w:val="Enfasicorsivo"/>
          <w:i w:val="0"/>
          <w:color w:val="000000"/>
        </w:rPr>
        <w:t xml:space="preserve">Un dato </w:t>
      </w:r>
      <w:r w:rsidRPr="00BE4D39">
        <w:rPr>
          <w:rStyle w:val="Enfasicorsivo"/>
          <w:i w:val="0"/>
          <w:color w:val="000000"/>
        </w:rPr>
        <w:t>davvero singolare è il compito dell’archivista che denota ancora una volta la collegialità dell’amministrazione della parrocchia da parte del C</w:t>
      </w:r>
      <w:r w:rsidR="00BE4D39">
        <w:rPr>
          <w:rStyle w:val="Enfasicorsivo"/>
          <w:i w:val="0"/>
          <w:color w:val="000000"/>
        </w:rPr>
        <w:t>apitolo. Infatti, nonostante l’archivio c</w:t>
      </w:r>
      <w:r w:rsidRPr="00BE4D39">
        <w:rPr>
          <w:rStyle w:val="Enfasicorsivo"/>
          <w:i w:val="0"/>
          <w:color w:val="000000"/>
        </w:rPr>
        <w:t>apitolare fosse da tempo passato di prop</w:t>
      </w:r>
      <w:r w:rsidR="00BE4D39">
        <w:rPr>
          <w:rStyle w:val="Enfasicorsivo"/>
          <w:i w:val="0"/>
          <w:color w:val="000000"/>
        </w:rPr>
        <w:t>rietà alla p</w:t>
      </w:r>
      <w:r w:rsidRPr="00BE4D39">
        <w:rPr>
          <w:rStyle w:val="Enfasicorsivo"/>
          <w:i w:val="0"/>
          <w:color w:val="000000"/>
        </w:rPr>
        <w:t>arrocchia, l’</w:t>
      </w:r>
      <w:r w:rsidR="00BE4D39">
        <w:rPr>
          <w:rStyle w:val="Enfasicorsivo"/>
          <w:i w:val="0"/>
          <w:color w:val="000000"/>
        </w:rPr>
        <w:t>a</w:t>
      </w:r>
      <w:r w:rsidRPr="00BE4D39">
        <w:rPr>
          <w:rStyle w:val="Enfasicorsivo"/>
          <w:i w:val="0"/>
          <w:color w:val="000000"/>
        </w:rPr>
        <w:t xml:space="preserve">rchivista, che è un canonico eletto dal </w:t>
      </w:r>
      <w:r w:rsidR="00BE4D39">
        <w:rPr>
          <w:rStyle w:val="Enfasicorsivo"/>
          <w:i w:val="0"/>
          <w:color w:val="000000"/>
        </w:rPr>
        <w:t>Capitolo stesso e distinto dal segretario c</w:t>
      </w:r>
      <w:r w:rsidRPr="00BE4D39">
        <w:rPr>
          <w:rStyle w:val="Enfasicorsivo"/>
          <w:i w:val="0"/>
          <w:color w:val="000000"/>
        </w:rPr>
        <w:t>apitolare</w:t>
      </w:r>
      <w:r>
        <w:rPr>
          <w:rStyle w:val="Enfasicorsivo"/>
          <w:color w:val="000000"/>
        </w:rPr>
        <w:t>, “detiene le chiavi degli armadi e degli scrigni contenenti Bolle e Brevi pontifici rescritti granducali, istrumenti, inventari, codici, carte di pertinenza del Capitolo e tutto deve conservare e custodire gelosamente</w:t>
      </w:r>
      <w:r>
        <w:rPr>
          <w:rStyle w:val="Enfasicorsivo"/>
          <w:i w:val="0"/>
          <w:color w:val="000000"/>
        </w:rPr>
        <w:t>”</w:t>
      </w:r>
      <w:r>
        <w:rPr>
          <w:rStyle w:val="Caratteredellanota"/>
          <w:iCs/>
          <w:color w:val="000000"/>
        </w:rPr>
        <w:footnoteReference w:id="56"/>
      </w:r>
      <w:r>
        <w:rPr>
          <w:rStyle w:val="Enfasicorsivo"/>
          <w:i w:val="0"/>
          <w:color w:val="000000"/>
        </w:rPr>
        <w:t>. Inoltre è sempre lui  a vigilare sulla integrità dei preziosi documenti ivi custoditi e con dovizia di particolari, il capitolo a lui dedicato, traccia un piccolo ma puntuale regolamento interno per la consultazione del materiale dell’</w:t>
      </w:r>
      <w:r w:rsidR="00BE4D39">
        <w:rPr>
          <w:rStyle w:val="Enfasicorsivo"/>
          <w:i w:val="0"/>
          <w:color w:val="000000"/>
        </w:rPr>
        <w:t>a</w:t>
      </w:r>
      <w:r>
        <w:rPr>
          <w:rStyle w:val="Enfasicorsivo"/>
          <w:i w:val="0"/>
          <w:color w:val="000000"/>
        </w:rPr>
        <w:t>rchivio.</w:t>
      </w:r>
    </w:p>
    <w:p w14:paraId="3A50C720" w14:textId="77777777" w:rsidR="00A13ECD" w:rsidRPr="00BE4D39" w:rsidRDefault="00A13ECD">
      <w:pPr>
        <w:pStyle w:val="NormaleWeb"/>
        <w:jc w:val="both"/>
        <w:rPr>
          <w:rStyle w:val="Enfasicorsivo"/>
          <w:i w:val="0"/>
          <w:color w:val="000000"/>
        </w:rPr>
      </w:pPr>
      <w:r w:rsidRPr="00BE4D39">
        <w:rPr>
          <w:rStyle w:val="Enfasicorsivo"/>
          <w:i w:val="0"/>
          <w:color w:val="000000"/>
        </w:rPr>
        <w:t xml:space="preserve">Sul fronte della </w:t>
      </w:r>
      <w:r w:rsidRPr="00BE4D39">
        <w:rPr>
          <w:rStyle w:val="Enfasicorsivo"/>
          <w:color w:val="000000"/>
        </w:rPr>
        <w:t>cura animarum</w:t>
      </w:r>
      <w:r w:rsidRPr="00BE4D39">
        <w:rPr>
          <w:rStyle w:val="Enfasicorsivo"/>
          <w:i w:val="0"/>
          <w:color w:val="000000"/>
        </w:rPr>
        <w:t xml:space="preserve"> emerge invece una maggiore autonomia del Priore coadiuvato dai Cappellani curati. Ciò fa emergere, da una parte, la realtà parrocchiale con la sua pastorale tipica ribadita dalle indicazioni dell’Arcidiocesi fiorentina del tempo, sia dall’altra parte, il ruolo di promozione della dignità del  culto  da parte del Capitolo ribadito dalla puntuale citazione del Concilio di Trento</w:t>
      </w:r>
      <w:r w:rsidRPr="00BE4D39">
        <w:rPr>
          <w:rStyle w:val="Caratteredellanota"/>
          <w:i/>
          <w:iCs/>
          <w:color w:val="000000"/>
        </w:rPr>
        <w:footnoteReference w:id="57"/>
      </w:r>
      <w:r w:rsidRPr="00BE4D39">
        <w:rPr>
          <w:rStyle w:val="Enfasicorsivo"/>
          <w:i w:val="0"/>
          <w:color w:val="000000"/>
        </w:rPr>
        <w:t xml:space="preserve"> .La Parrocchia, infatti, in quel periodo contava più di 18.000 abitanti con decine di grandi case religiose e numerosi oratori pubblici con quattro chiese succursali (San Barnaba, San Giovannino dei Cavalieri, San Giovanni Evangelista dei Padri Scolopi e Nostra Signora del S. Cuore dei PP. Missionari del S. Cuore)</w:t>
      </w:r>
      <w:r w:rsidRPr="00BE4D39">
        <w:rPr>
          <w:rStyle w:val="Caratteredellanota"/>
          <w:i/>
          <w:iCs/>
          <w:color w:val="000000"/>
        </w:rPr>
        <w:footnoteReference w:id="58"/>
      </w:r>
    </w:p>
    <w:p w14:paraId="47F3DCAF" w14:textId="77777777" w:rsidR="00A13ECD" w:rsidRPr="003F3561" w:rsidRDefault="00A13ECD">
      <w:pPr>
        <w:pStyle w:val="NormaleWeb"/>
        <w:jc w:val="both"/>
        <w:rPr>
          <w:rFonts w:cs="AIIHDK+TimesNewRoman"/>
          <w:b/>
          <w:i/>
          <w:color w:val="000000"/>
        </w:rPr>
      </w:pPr>
      <w:r>
        <w:rPr>
          <w:rStyle w:val="Enfasicorsivo"/>
          <w:i w:val="0"/>
          <w:color w:val="000000"/>
        </w:rPr>
        <w:t xml:space="preserve">Nonostante i grandi stravolgimenti politici ed amministrativi: </w:t>
      </w:r>
      <w:r w:rsidRPr="00BE4D39">
        <w:rPr>
          <w:rStyle w:val="Enfasicorsivo"/>
          <w:i w:val="0"/>
          <w:color w:val="000000"/>
        </w:rPr>
        <w:t xml:space="preserve">l’estinzione della </w:t>
      </w:r>
      <w:r w:rsidR="00BE4D39">
        <w:rPr>
          <w:rStyle w:val="Enfasicorsivo"/>
          <w:i w:val="0"/>
          <w:color w:val="000000"/>
        </w:rPr>
        <w:t>casa Medici, del successivo G</w:t>
      </w:r>
      <w:r w:rsidRPr="00BE4D39">
        <w:rPr>
          <w:rStyle w:val="Enfasicorsivo"/>
          <w:i w:val="0"/>
          <w:color w:val="000000"/>
        </w:rPr>
        <w:t xml:space="preserve">randucato </w:t>
      </w:r>
      <w:r w:rsidR="00BE4D39">
        <w:rPr>
          <w:rStyle w:val="Enfasicorsivo"/>
          <w:i w:val="0"/>
          <w:color w:val="000000"/>
        </w:rPr>
        <w:t>l</w:t>
      </w:r>
      <w:r w:rsidRPr="00BE4D39">
        <w:rPr>
          <w:rStyle w:val="Enfasicorsivo"/>
          <w:i w:val="0"/>
          <w:color w:val="000000"/>
        </w:rPr>
        <w:t>orenese, la successiva unità ital</w:t>
      </w:r>
      <w:r w:rsidR="00BE4D39">
        <w:rPr>
          <w:rStyle w:val="Enfasicorsivo"/>
          <w:i w:val="0"/>
          <w:color w:val="000000"/>
        </w:rPr>
        <w:t>iana, il regno d’Italia con la c</w:t>
      </w:r>
      <w:r w:rsidRPr="00BE4D39">
        <w:rPr>
          <w:rStyle w:val="Enfasicorsivo"/>
          <w:i w:val="0"/>
          <w:color w:val="000000"/>
        </w:rPr>
        <w:t xml:space="preserve">asa Savoia, le leggi statali che hanno ridimensionato le proprietà e le mansioni della Basilica Laurenziana, la presenza dello Stato nella gestione di alcuni suoi importanti settori (Biblioteca, Cappelle Medicee), l’istituzione dell’Opera Medicea Laurenziana, il completo rinnovo delle prebende canonicali e la codificazione della Chiesa universale sulla realtà dei Capitoli canonicali, permangono immutati il ruolo ed i compiti </w:t>
      </w:r>
      <w:r w:rsidR="003F3561">
        <w:rPr>
          <w:rStyle w:val="Enfasicorsivo"/>
          <w:i w:val="0"/>
          <w:color w:val="000000"/>
        </w:rPr>
        <w:t xml:space="preserve">dei </w:t>
      </w:r>
      <w:r w:rsidR="00BE4D39">
        <w:rPr>
          <w:rStyle w:val="Enfasicorsivo"/>
          <w:i w:val="0"/>
          <w:color w:val="000000"/>
        </w:rPr>
        <w:t>c</w:t>
      </w:r>
      <w:r w:rsidR="00CD3515" w:rsidRPr="00BE4D39">
        <w:rPr>
          <w:rStyle w:val="Enfasicorsivo"/>
          <w:i w:val="0"/>
          <w:color w:val="000000"/>
        </w:rPr>
        <w:t>anonici</w:t>
      </w:r>
      <w:r w:rsidRPr="00BE4D39">
        <w:rPr>
          <w:rStyle w:val="Enfasicorsivo"/>
          <w:i w:val="0"/>
          <w:color w:val="000000"/>
        </w:rPr>
        <w:t xml:space="preserve"> </w:t>
      </w:r>
      <w:r w:rsidR="00BE4D39">
        <w:rPr>
          <w:rStyle w:val="Enfasicorsivo"/>
          <w:i w:val="0"/>
          <w:color w:val="000000"/>
        </w:rPr>
        <w:t>l</w:t>
      </w:r>
      <w:r w:rsidRPr="00BE4D39">
        <w:rPr>
          <w:rStyle w:val="Enfasicorsivo"/>
          <w:i w:val="0"/>
          <w:color w:val="000000"/>
        </w:rPr>
        <w:t>aurenziani al servizio della comunità. Unica nota di discontinuità, se mai, risulta un certo rallentamento sulla vita pa</w:t>
      </w:r>
      <w:r w:rsidR="00BE4D39">
        <w:rPr>
          <w:rStyle w:val="Enfasicorsivo"/>
          <w:i w:val="0"/>
          <w:color w:val="000000"/>
        </w:rPr>
        <w:t>storale della p</w:t>
      </w:r>
      <w:r w:rsidRPr="00BE4D39">
        <w:rPr>
          <w:rStyle w:val="Enfasicorsivo"/>
          <w:i w:val="0"/>
          <w:color w:val="000000"/>
        </w:rPr>
        <w:t xml:space="preserve">arrocchia </w:t>
      </w:r>
      <w:r w:rsidR="00BE4D39">
        <w:rPr>
          <w:rStyle w:val="Enfasicorsivo"/>
          <w:i w:val="0"/>
          <w:color w:val="000000"/>
        </w:rPr>
        <w:t>che</w:t>
      </w:r>
      <w:r w:rsidRPr="00BE4D39">
        <w:rPr>
          <w:rStyle w:val="Enfasicorsivo"/>
          <w:i w:val="0"/>
          <w:color w:val="000000"/>
        </w:rPr>
        <w:t xml:space="preserve">, tuttavia, non si evidenzia giuridicamente tra queste due realtà, </w:t>
      </w:r>
      <w:r w:rsidR="003F3561">
        <w:rPr>
          <w:rStyle w:val="Enfasicorsivo"/>
          <w:i w:val="0"/>
          <w:color w:val="000000"/>
        </w:rPr>
        <w:t xml:space="preserve">con </w:t>
      </w:r>
      <w:r w:rsidRPr="00BE4D39">
        <w:rPr>
          <w:rStyle w:val="Enfasicorsivo"/>
          <w:i w:val="0"/>
          <w:color w:val="000000"/>
        </w:rPr>
        <w:t>una netta separazione. Anzi al Capitolo continuava a spettare un controllo sulla Basilica nei suoi aspetti liturgici e religiosi:</w:t>
      </w:r>
      <w:r>
        <w:rPr>
          <w:rStyle w:val="Enfasicorsivo"/>
          <w:color w:val="000000"/>
        </w:rPr>
        <w:t xml:space="preserve">   “invigilare ut in functionibus a Parocho in Capitulari peragendis, leges liturgicae observentur. Ecclesiae curam habere ejusque bona administrare cum piie legatis. </w:t>
      </w:r>
      <w:r w:rsidR="003F3561">
        <w:rPr>
          <w:rStyle w:val="Enfasicorsivo"/>
          <w:i w:val="0"/>
          <w:color w:val="000000"/>
        </w:rPr>
        <w:t>Il Capitolo pertanto: n</w:t>
      </w:r>
      <w:r>
        <w:rPr>
          <w:rStyle w:val="Enfasicorsivo"/>
          <w:i w:val="0"/>
          <w:color w:val="000000"/>
        </w:rPr>
        <w:t>omina gli uffici</w:t>
      </w:r>
      <w:r w:rsidR="003F3561">
        <w:rPr>
          <w:rStyle w:val="Enfasicorsivo"/>
          <w:i w:val="0"/>
          <w:color w:val="000000"/>
        </w:rPr>
        <w:t>ali che devono collaborare con monsignor p</w:t>
      </w:r>
      <w:r>
        <w:rPr>
          <w:rStyle w:val="Enfasicorsivo"/>
          <w:i w:val="0"/>
          <w:color w:val="000000"/>
        </w:rPr>
        <w:t>riore nel governo della Basilica. Amministra per mezzo dei</w:t>
      </w:r>
      <w:r w:rsidR="003F3561">
        <w:rPr>
          <w:rStyle w:val="Enfasicorsivo"/>
          <w:i w:val="0"/>
          <w:color w:val="000000"/>
        </w:rPr>
        <w:t xml:space="preserve"> due Camarlinghi d’accordo con monsignor p</w:t>
      </w:r>
      <w:r>
        <w:rPr>
          <w:rStyle w:val="Enfasicorsivo"/>
          <w:i w:val="0"/>
          <w:color w:val="000000"/>
        </w:rPr>
        <w:t xml:space="preserve">riore i beni, </w:t>
      </w:r>
      <w:r w:rsidRPr="003F3561">
        <w:rPr>
          <w:rStyle w:val="Enfasicorsivo"/>
          <w:i w:val="0"/>
          <w:color w:val="000000"/>
        </w:rPr>
        <w:t>redditi, proventi del Capitolo e della Chiesa”</w:t>
      </w:r>
      <w:r w:rsidRPr="003F3561">
        <w:rPr>
          <w:rStyle w:val="Caratteredellanota"/>
          <w:i/>
          <w:iCs/>
          <w:color w:val="000000"/>
        </w:rPr>
        <w:footnoteReference w:id="59"/>
      </w:r>
      <w:r w:rsidRPr="003F3561">
        <w:rPr>
          <w:rStyle w:val="Enfasicorsivo"/>
          <w:i w:val="0"/>
          <w:color w:val="000000"/>
        </w:rPr>
        <w:t>.</w:t>
      </w:r>
    </w:p>
    <w:p w14:paraId="7165F90B" w14:textId="77777777" w:rsidR="00A13ECD" w:rsidRDefault="00A13ECD">
      <w:pPr>
        <w:pStyle w:val="NormaleWeb"/>
        <w:jc w:val="both"/>
        <w:rPr>
          <w:rFonts w:cs="AIIHDK+TimesNewRoman"/>
          <w:b/>
          <w:color w:val="000000"/>
        </w:rPr>
      </w:pPr>
    </w:p>
    <w:p w14:paraId="7010022B" w14:textId="77777777" w:rsidR="00A13ECD" w:rsidRDefault="00A13ECD">
      <w:pPr>
        <w:pStyle w:val="NormaleWeb"/>
        <w:jc w:val="both"/>
        <w:rPr>
          <w:rFonts w:cs="AIIHDK+TimesNewRoman"/>
          <w:color w:val="000000"/>
        </w:rPr>
      </w:pPr>
      <w:r>
        <w:rPr>
          <w:rFonts w:cs="AIIHDK+TimesNewRoman"/>
          <w:b/>
          <w:color w:val="000000"/>
        </w:rPr>
        <w:lastRenderedPageBreak/>
        <w:t>Le Costituzioni Capitolari vigenti</w:t>
      </w:r>
    </w:p>
    <w:p w14:paraId="31303078" w14:textId="77777777" w:rsidR="00A13ECD" w:rsidRDefault="00A13ECD">
      <w:pPr>
        <w:pStyle w:val="NormaleWeb"/>
        <w:jc w:val="both"/>
        <w:rPr>
          <w:rFonts w:cs="AIIHDK+TimesNewRoman"/>
          <w:color w:val="000000"/>
        </w:rPr>
      </w:pPr>
      <w:r>
        <w:rPr>
          <w:rFonts w:cs="AIIHDK+TimesNewRoman"/>
          <w:color w:val="000000"/>
        </w:rPr>
        <w:t>Un altro passaggio epocale attende la realtà ecclesiale e, di conseguenza, la vita dei capitoli canonicali e del Capitolo laurenziano in particolare: è l’evento del Concilio ecumenico Vaticano II e la relativa grande riforma che investirà tutti i campi ecclesiastici, primo fra tutti quello del diritto e della disciplina normativa.  Per la nostra ricerca sul ruolo ed i compiti del Capitolo di San Lorenzo fermiamo la nostra attenzione</w:t>
      </w:r>
      <w:r w:rsidR="003F3561">
        <w:rPr>
          <w:rFonts w:cs="AIIHDK+TimesNewRoman"/>
          <w:color w:val="000000"/>
        </w:rPr>
        <w:t>,</w:t>
      </w:r>
      <w:r>
        <w:rPr>
          <w:rFonts w:cs="AIIHDK+TimesNewRoman"/>
          <w:color w:val="000000"/>
        </w:rPr>
        <w:t xml:space="preserve"> soprattutto</w:t>
      </w:r>
      <w:r w:rsidR="003F3561">
        <w:rPr>
          <w:rFonts w:cs="AIIHDK+TimesNewRoman"/>
          <w:color w:val="000000"/>
        </w:rPr>
        <w:t>,</w:t>
      </w:r>
      <w:r>
        <w:rPr>
          <w:rFonts w:cs="AIIHDK+TimesNewRoman"/>
          <w:color w:val="000000"/>
        </w:rPr>
        <w:t xml:space="preserve"> sul nuovo Codice di Diritto Canonico </w:t>
      </w:r>
      <w:r w:rsidR="003F3561">
        <w:rPr>
          <w:rFonts w:cs="AIIHDK+TimesNewRoman"/>
          <w:color w:val="000000"/>
        </w:rPr>
        <w:t>promulgato il 25 gennaio 1983 ed</w:t>
      </w:r>
      <w:r>
        <w:rPr>
          <w:rFonts w:cs="AIIHDK+TimesNewRoman"/>
          <w:color w:val="000000"/>
        </w:rPr>
        <w:t xml:space="preserve"> alcuni documenti post conciliari </w:t>
      </w:r>
      <w:r w:rsidR="003F3561">
        <w:rPr>
          <w:rFonts w:cs="AIIHDK+TimesNewRoman"/>
          <w:color w:val="000000"/>
        </w:rPr>
        <w:t xml:space="preserve">che </w:t>
      </w:r>
      <w:r>
        <w:rPr>
          <w:rFonts w:cs="AIIHDK+TimesNewRoman"/>
          <w:color w:val="000000"/>
        </w:rPr>
        <w:t>hanno rinnovato profondamente gli usi e i costumi del Capitolo laurenziano</w:t>
      </w:r>
      <w:r>
        <w:rPr>
          <w:rStyle w:val="Caratteredellanota"/>
          <w:rFonts w:cs="AIIHDK+TimesNewRoman"/>
          <w:color w:val="000000"/>
        </w:rPr>
        <w:footnoteReference w:id="60"/>
      </w:r>
      <w:r>
        <w:rPr>
          <w:rFonts w:cs="AIIHDK+TimesNewRoman"/>
          <w:color w:val="000000"/>
        </w:rPr>
        <w:t>.</w:t>
      </w:r>
    </w:p>
    <w:p w14:paraId="20C04762" w14:textId="77777777" w:rsidR="003F3561" w:rsidRDefault="00A13ECD">
      <w:pPr>
        <w:pStyle w:val="NormaleWeb"/>
        <w:jc w:val="both"/>
        <w:rPr>
          <w:rFonts w:cs="AIIHDK+TimesNewRoman"/>
          <w:color w:val="000000"/>
        </w:rPr>
      </w:pPr>
      <w:r>
        <w:rPr>
          <w:rFonts w:cs="AIIHDK+TimesNewRoman"/>
          <w:color w:val="000000"/>
        </w:rPr>
        <w:t>L’edizione attuale delle Costituzioni post conciliari dal punto di vista redazionale è assai recente, è</w:t>
      </w:r>
      <w:r w:rsidR="003F3561">
        <w:rPr>
          <w:rFonts w:cs="AIIHDK+TimesNewRoman"/>
          <w:color w:val="000000"/>
        </w:rPr>
        <w:t>,</w:t>
      </w:r>
      <w:r w:rsidR="003F3561" w:rsidRPr="003F3561">
        <w:rPr>
          <w:rFonts w:cs="AIIHDK+TimesNewRoman"/>
          <w:color w:val="000000"/>
        </w:rPr>
        <w:t xml:space="preserve"> </w:t>
      </w:r>
      <w:r w:rsidR="003F3561">
        <w:rPr>
          <w:rFonts w:cs="AIIHDK+TimesNewRoman"/>
          <w:color w:val="000000"/>
        </w:rPr>
        <w:t xml:space="preserve">infatti, </w:t>
      </w:r>
      <w:r>
        <w:rPr>
          <w:rFonts w:cs="AIIHDK+TimesNewRoman"/>
          <w:color w:val="000000"/>
        </w:rPr>
        <w:t xml:space="preserve"> del 10 agosto 2010. Tuttavia è il risultato di un percorso di rinnovamento ad opera del Capitolo di San Lorenzo che aveva già trovato la propria codificazione ed approvazione il 10 agosto 1979  ad opera del Cardinale Arcivescovo di Firenze Giovanni Benelli. Tale prima redazione si era imposta per la mutata situazione ecclesiale verificatasi con il Concilio Vaticano II. </w:t>
      </w:r>
    </w:p>
    <w:p w14:paraId="0B7F41A3" w14:textId="77777777" w:rsidR="00A13ECD" w:rsidRDefault="003F3561">
      <w:pPr>
        <w:pStyle w:val="NormaleWeb"/>
        <w:jc w:val="both"/>
        <w:rPr>
          <w:rFonts w:cs="AIIHDK+TimesNewRoman"/>
          <w:color w:val="000000"/>
        </w:rPr>
      </w:pPr>
      <w:r>
        <w:rPr>
          <w:rFonts w:cs="AIIHDK+TimesNewRoman"/>
          <w:color w:val="000000"/>
        </w:rPr>
        <w:t>C</w:t>
      </w:r>
      <w:r w:rsidR="00A13ECD">
        <w:rPr>
          <w:rFonts w:cs="AIIHDK+TimesNewRoman"/>
          <w:color w:val="000000"/>
        </w:rPr>
        <w:t>ome accennato in precedenza, nel 1983 fu approvato il nuovo Codice e</w:t>
      </w:r>
      <w:r>
        <w:rPr>
          <w:rFonts w:cs="AIIHDK+TimesNewRoman"/>
          <w:color w:val="000000"/>
        </w:rPr>
        <w:t>,</w:t>
      </w:r>
      <w:r w:rsidR="00A13ECD">
        <w:rPr>
          <w:rFonts w:cs="AIIHDK+TimesNewRoman"/>
          <w:color w:val="000000"/>
        </w:rPr>
        <w:t xml:space="preserve"> pertanto</w:t>
      </w:r>
      <w:r>
        <w:rPr>
          <w:rFonts w:cs="AIIHDK+TimesNewRoman"/>
          <w:color w:val="000000"/>
        </w:rPr>
        <w:t>,</w:t>
      </w:r>
      <w:r w:rsidR="00A13ECD">
        <w:rPr>
          <w:rFonts w:cs="AIIHDK+TimesNewRoman"/>
          <w:color w:val="000000"/>
        </w:rPr>
        <w:t xml:space="preserve"> il Capitolo </w:t>
      </w:r>
      <w:r>
        <w:rPr>
          <w:rFonts w:cs="AIIHDK+TimesNewRoman"/>
          <w:color w:val="000000"/>
        </w:rPr>
        <w:t>aveva dovuto</w:t>
      </w:r>
      <w:r w:rsidR="00A13ECD">
        <w:rPr>
          <w:rFonts w:cs="AIIHDK+TimesNewRoman"/>
          <w:color w:val="000000"/>
        </w:rPr>
        <w:t xml:space="preserve"> nuovamente uniformare le proprie Costituzioni alle norme universali della Chiesa. Così si giunse ad una nuova approvazione il 27 febbraio del 1987 da parte del Cardinale Arcivescovo Silvano Piovanelli. Qualche anno dopo si imposero nuove modifiche ed integrazioni cosicché avvenne una nuova approvazione ad opera del Cardinale Arcivescovo Ennio Antonelli con decreto del 1 novembre 2007</w:t>
      </w:r>
      <w:r w:rsidR="00A13ECD">
        <w:rPr>
          <w:rStyle w:val="Caratteredellanota"/>
          <w:rFonts w:cs="AIIHDK+TimesNewRoman"/>
          <w:color w:val="000000"/>
        </w:rPr>
        <w:footnoteReference w:id="61"/>
      </w:r>
      <w:r w:rsidR="00A13ECD">
        <w:rPr>
          <w:rFonts w:cs="AIIHDK+TimesNewRoman"/>
          <w:color w:val="000000"/>
        </w:rPr>
        <w:t>.</w:t>
      </w:r>
    </w:p>
    <w:p w14:paraId="2C05C52F" w14:textId="77777777" w:rsidR="003F3561" w:rsidRDefault="00A13ECD">
      <w:pPr>
        <w:pStyle w:val="NormaleWeb"/>
        <w:tabs>
          <w:tab w:val="left" w:pos="360"/>
        </w:tabs>
        <w:jc w:val="both"/>
        <w:rPr>
          <w:rFonts w:cs="AIIHDK+TimesNewRoman"/>
          <w:color w:val="000000"/>
        </w:rPr>
      </w:pPr>
      <w:r>
        <w:rPr>
          <w:rFonts w:cs="AIIHDK+TimesNewRoman"/>
          <w:color w:val="000000"/>
        </w:rPr>
        <w:t xml:space="preserve">Pur collocandosi nella linea della continuità con le altre Costituzioni precedenti (vedi il </w:t>
      </w:r>
      <w:r>
        <w:rPr>
          <w:rFonts w:cs="AIIHDK+TimesNewRoman"/>
          <w:i/>
          <w:color w:val="000000"/>
        </w:rPr>
        <w:t>Proemio</w:t>
      </w:r>
      <w:r>
        <w:rPr>
          <w:rFonts w:cs="AIIHDK+TimesNewRoman"/>
          <w:color w:val="000000"/>
        </w:rPr>
        <w:t xml:space="preserve"> per esempio) il dato emergente è senz’altro la netta distinzione tra l’Ente Parrocchia di San Lorenzo e il Capitolo laurenziano. </w:t>
      </w:r>
      <w:r w:rsidR="003F3561">
        <w:rPr>
          <w:rFonts w:cs="AIIHDK+TimesNewRoman"/>
          <w:color w:val="000000"/>
        </w:rPr>
        <w:t>E’ poi</w:t>
      </w:r>
      <w:r>
        <w:rPr>
          <w:rFonts w:cs="AIIHDK+TimesNewRoman"/>
          <w:color w:val="000000"/>
        </w:rPr>
        <w:t xml:space="preserve"> specificato meglio il ruolo del priore mitrato che deve essere necessariamente il parroco della </w:t>
      </w:r>
      <w:r w:rsidR="00955D42">
        <w:rPr>
          <w:rFonts w:cs="AIIHDK+TimesNewRoman"/>
          <w:color w:val="000000"/>
        </w:rPr>
        <w:t>p</w:t>
      </w:r>
      <w:r>
        <w:rPr>
          <w:rFonts w:cs="AIIHDK+TimesNewRoman"/>
          <w:color w:val="000000"/>
        </w:rPr>
        <w:t>arrocchia di San Lorenzo, pertanto, il punto di congiunzione e di unit</w:t>
      </w:r>
      <w:r w:rsidR="003F3561">
        <w:rPr>
          <w:rFonts w:cs="AIIHDK+TimesNewRoman"/>
          <w:color w:val="000000"/>
        </w:rPr>
        <w:t>à tra le due realtà diventa il parroco-p</w:t>
      </w:r>
      <w:r>
        <w:rPr>
          <w:rFonts w:cs="AIIHDK+TimesNewRoman"/>
          <w:color w:val="000000"/>
        </w:rPr>
        <w:t>riore. I compiti ed i</w:t>
      </w:r>
      <w:r w:rsidR="003F3561">
        <w:rPr>
          <w:rFonts w:cs="AIIHDK+TimesNewRoman"/>
          <w:color w:val="000000"/>
        </w:rPr>
        <w:t>l ruolo dei Capitoli sia delle c</w:t>
      </w:r>
      <w:r>
        <w:rPr>
          <w:rFonts w:cs="AIIHDK+TimesNewRoman"/>
          <w:color w:val="000000"/>
        </w:rPr>
        <w:t>attedrali come dell</w:t>
      </w:r>
      <w:r w:rsidR="003F3561">
        <w:rPr>
          <w:rFonts w:cs="AIIHDK+TimesNewRoman"/>
          <w:color w:val="000000"/>
        </w:rPr>
        <w:t>e collegiate, e quindi quello l</w:t>
      </w:r>
      <w:r>
        <w:rPr>
          <w:rFonts w:cs="AIIHDK+TimesNewRoman"/>
          <w:color w:val="000000"/>
        </w:rPr>
        <w:t xml:space="preserve">aurenziano, sono sanciti dagli artt. 503-510 del nuovo Codice di Diritto Canonico. </w:t>
      </w:r>
    </w:p>
    <w:p w14:paraId="746A740A" w14:textId="77777777" w:rsidR="00A13ECD" w:rsidRDefault="003F3561">
      <w:pPr>
        <w:pStyle w:val="NormaleWeb"/>
        <w:tabs>
          <w:tab w:val="left" w:pos="360"/>
        </w:tabs>
        <w:jc w:val="both"/>
      </w:pPr>
      <w:r>
        <w:rPr>
          <w:rFonts w:cs="AIIHDK+TimesNewRoman"/>
          <w:color w:val="000000"/>
        </w:rPr>
        <w:t xml:space="preserve">Per </w:t>
      </w:r>
      <w:r w:rsidR="00A13ECD">
        <w:rPr>
          <w:rFonts w:cs="AIIHDK+TimesNewRoman"/>
          <w:color w:val="000000"/>
        </w:rPr>
        <w:t>la peculiare storia della Basilica di San Lorenzo lo Statuto attuale aggiunge: “</w:t>
      </w:r>
      <w:r w:rsidR="00A13ECD">
        <w:t xml:space="preserve">Compito del Capitolo ed impegno di ogni Capitolare è quello di adoperarsi perché nella Basilica sia assicurato un dignitoso ed esemplare servizio liturgico-pastorale nella quotidiana ufficiatura corale. Il Capitolo professa altresì positiva volontà di compartecipazione e di cointeressamento ad ogni forma di attività pastorale comunque rivolta al bene delle anime o richiesta, per invito o per convenzioni, dal Priore nell’ambito della Parrocchia o della superiore Autorità religiosa nell’ambito della più vasta comunità ecclesiale.  Il. Capitolo osserva integri questi suoi compiti con la celebrazione </w:t>
      </w:r>
      <w:r w:rsidR="00A13ECD">
        <w:rPr>
          <w:iCs/>
        </w:rPr>
        <w:t>attiva</w:t>
      </w:r>
      <w:r w:rsidR="00A13ECD">
        <w:rPr>
          <w:i/>
          <w:iCs/>
        </w:rPr>
        <w:t xml:space="preserve"> </w:t>
      </w:r>
      <w:r w:rsidR="00A13ECD">
        <w:t xml:space="preserve">piena,  cosciente dei Sacramenti e della Lode Divina, con la fattiva collaborazione alle possibili attività pastorali, con la cura dell’amministrazione e della soddisfazione dei pii legati nelle debite forme consentite e concordate” </w:t>
      </w:r>
      <w:r w:rsidR="00A13ECD">
        <w:rPr>
          <w:rStyle w:val="Caratteredellanota"/>
        </w:rPr>
        <w:footnoteReference w:id="62"/>
      </w:r>
      <w:r w:rsidR="00A13ECD">
        <w:t xml:space="preserve">. Così pure in altri articoli è auspicata la collaborazione tra Priore e Capitolo nel settore pastorale </w:t>
      </w:r>
      <w:r w:rsidR="00A13ECD">
        <w:rPr>
          <w:rStyle w:val="Caratteredellanota"/>
        </w:rPr>
        <w:footnoteReference w:id="63"/>
      </w:r>
      <w:r w:rsidR="00A13ECD">
        <w:t>.</w:t>
      </w:r>
    </w:p>
    <w:p w14:paraId="32F286EA" w14:textId="77777777" w:rsidR="00A13ECD" w:rsidRDefault="00A13ECD">
      <w:pPr>
        <w:pStyle w:val="NormaleWeb"/>
        <w:tabs>
          <w:tab w:val="left" w:pos="360"/>
        </w:tabs>
        <w:jc w:val="both"/>
        <w:rPr>
          <w:rStyle w:val="Enfasicorsivo"/>
          <w:i w:val="0"/>
          <w:color w:val="000000"/>
        </w:rPr>
      </w:pPr>
      <w:r>
        <w:t xml:space="preserve">Una novità assoluta del nuovo Statuto, che non era stata contemplata nelle Costituzioni precedenti, è la distinzione tra </w:t>
      </w:r>
      <w:r w:rsidR="00CD3515">
        <w:t>canonici</w:t>
      </w:r>
      <w:r>
        <w:t xml:space="preserve"> effettivi con il numero di </w:t>
      </w:r>
      <w:r w:rsidR="003F3561">
        <w:t>sedici</w:t>
      </w:r>
      <w:r>
        <w:t xml:space="preserve"> canonicati, gli onorari:“quei sacerdoti che l’Arcivescovo, previo voto consultivo del Capitolo, con sua lettera ha regolarmente nominato tali per </w:t>
      </w:r>
      <w:r>
        <w:lastRenderedPageBreak/>
        <w:t xml:space="preserve">onorarne le benemerenze. Essi non hanno né voce né altro onere canonicale; hanno però titoli, abiti e privilegi come gli altri </w:t>
      </w:r>
      <w:r w:rsidR="00CD3515">
        <w:t>canonici</w:t>
      </w:r>
      <w:r>
        <w:t xml:space="preserve"> effettivi; godono del diritto alle distribuzioni corali”</w:t>
      </w:r>
      <w:r>
        <w:rPr>
          <w:rStyle w:val="Caratteredellanota"/>
        </w:rPr>
        <w:footnoteReference w:id="64"/>
      </w:r>
      <w:r>
        <w:t xml:space="preserve">; ed infine, - applicando così il can. 185 del nuovo Codice - i </w:t>
      </w:r>
      <w:r w:rsidR="00CD3515">
        <w:t>canonici</w:t>
      </w:r>
      <w:r>
        <w:t xml:space="preserve"> emeriti che sono coloro che hanno dato le dimissioni per trasferimento come effettivi in un altro Capitolo, solitamente quello Metropolitano di Firenze. </w:t>
      </w:r>
    </w:p>
    <w:p w14:paraId="1D2E8C69" w14:textId="77777777" w:rsidR="00A13ECD" w:rsidRPr="003F3561" w:rsidRDefault="00A13ECD">
      <w:pPr>
        <w:pStyle w:val="NormaleWeb"/>
        <w:jc w:val="both"/>
        <w:rPr>
          <w:rStyle w:val="Enfasicorsivo"/>
          <w:i w:val="0"/>
          <w:color w:val="000000"/>
        </w:rPr>
      </w:pPr>
      <w:r>
        <w:rPr>
          <w:rStyle w:val="Enfasicorsivo"/>
          <w:i w:val="0"/>
          <w:color w:val="000000"/>
        </w:rPr>
        <w:t xml:space="preserve">Per ovviare all’assenza della vita comunitaria e rilanciare il ruolo di fraternità sacerdotale sollecitato dal Concilio Vaticano II </w:t>
      </w:r>
      <w:r>
        <w:rPr>
          <w:rStyle w:val="Caratteredellanota"/>
          <w:iCs/>
          <w:color w:val="000000"/>
        </w:rPr>
        <w:footnoteReference w:id="65"/>
      </w:r>
      <w:r>
        <w:rPr>
          <w:rStyle w:val="Enfasicorsivo"/>
          <w:i w:val="0"/>
          <w:color w:val="000000"/>
        </w:rPr>
        <w:t xml:space="preserve">, </w:t>
      </w:r>
      <w:r w:rsidRPr="003F3561">
        <w:rPr>
          <w:rStyle w:val="Enfasicorsivo"/>
          <w:i w:val="0"/>
          <w:color w:val="000000"/>
        </w:rPr>
        <w:t xml:space="preserve">su iniziativa del Priore e di alcuni </w:t>
      </w:r>
      <w:r w:rsidR="00CD3515" w:rsidRPr="003F3561">
        <w:rPr>
          <w:rStyle w:val="Enfasicorsivo"/>
          <w:i w:val="0"/>
          <w:color w:val="000000"/>
        </w:rPr>
        <w:t>Canonici</w:t>
      </w:r>
      <w:r w:rsidRPr="003F3561">
        <w:rPr>
          <w:rStyle w:val="Enfasicorsivo"/>
          <w:i w:val="0"/>
          <w:color w:val="000000"/>
        </w:rPr>
        <w:t xml:space="preserve">, è stata ristabilita giuridicamente l’Associazione dei Chierici di San Lorenzo che, a differenza di quella antica, non si   occupa dei giovani leviti per la loro preparazione agli ordini Sacri, </w:t>
      </w:r>
      <w:r w:rsidR="003F3561">
        <w:rPr>
          <w:rStyle w:val="Enfasicorsivo"/>
          <w:i w:val="0"/>
          <w:color w:val="000000"/>
        </w:rPr>
        <w:t>bensì</w:t>
      </w:r>
      <w:r w:rsidRPr="003F3561">
        <w:rPr>
          <w:rStyle w:val="Enfasicorsivo"/>
          <w:i w:val="0"/>
          <w:color w:val="000000"/>
        </w:rPr>
        <w:t xml:space="preserve">, promuove iniziative di fraternità sacerdotale volte all’assistenza materiale e spirituale dei sacerdoti anziani o malati. In altre parole una nuova lettura di quella fraternità che ha sempre contraddistinto la vita comune dei </w:t>
      </w:r>
      <w:r w:rsidR="003F3561">
        <w:rPr>
          <w:rStyle w:val="Enfasicorsivo"/>
          <w:i w:val="0"/>
          <w:color w:val="000000"/>
        </w:rPr>
        <w:t>c</w:t>
      </w:r>
      <w:r w:rsidR="00CD3515" w:rsidRPr="003F3561">
        <w:rPr>
          <w:rStyle w:val="Enfasicorsivo"/>
          <w:i w:val="0"/>
          <w:color w:val="000000"/>
        </w:rPr>
        <w:t>anonici</w:t>
      </w:r>
      <w:r w:rsidRPr="003F3561">
        <w:rPr>
          <w:rStyle w:val="Enfasicorsivo"/>
          <w:i w:val="0"/>
          <w:color w:val="000000"/>
        </w:rPr>
        <w:t xml:space="preserve"> </w:t>
      </w:r>
      <w:r w:rsidR="003F3561">
        <w:rPr>
          <w:rStyle w:val="Enfasicorsivo"/>
          <w:i w:val="0"/>
          <w:color w:val="000000"/>
        </w:rPr>
        <w:t>l</w:t>
      </w:r>
      <w:r w:rsidRPr="003F3561">
        <w:rPr>
          <w:rStyle w:val="Enfasicorsivo"/>
          <w:i w:val="0"/>
          <w:color w:val="000000"/>
        </w:rPr>
        <w:t>aurenziani.</w:t>
      </w:r>
    </w:p>
    <w:p w14:paraId="1DCD63F9" w14:textId="77777777" w:rsidR="00A13ECD" w:rsidRPr="003F3561" w:rsidRDefault="00A13ECD">
      <w:pPr>
        <w:pStyle w:val="NormaleWeb"/>
        <w:jc w:val="both"/>
        <w:rPr>
          <w:i/>
        </w:rPr>
      </w:pPr>
      <w:r w:rsidRPr="003F3561">
        <w:rPr>
          <w:rStyle w:val="Enfasicorsivo"/>
          <w:i w:val="0"/>
          <w:color w:val="000000"/>
        </w:rPr>
        <w:t xml:space="preserve">Oggi la scelta dei </w:t>
      </w:r>
      <w:r w:rsidR="003F3561">
        <w:rPr>
          <w:rStyle w:val="Enfasicorsivo"/>
          <w:i w:val="0"/>
          <w:color w:val="000000"/>
        </w:rPr>
        <w:t>c</w:t>
      </w:r>
      <w:r w:rsidR="00CD3515" w:rsidRPr="003F3561">
        <w:rPr>
          <w:rStyle w:val="Enfasicorsivo"/>
          <w:i w:val="0"/>
          <w:color w:val="000000"/>
        </w:rPr>
        <w:t>anonici</w:t>
      </w:r>
      <w:r w:rsidRPr="003F3561">
        <w:rPr>
          <w:rStyle w:val="Enfasicorsivo"/>
          <w:i w:val="0"/>
          <w:color w:val="000000"/>
        </w:rPr>
        <w:t xml:space="preserve">, sempre su proposta del </w:t>
      </w:r>
      <w:r w:rsidR="003F3561">
        <w:rPr>
          <w:rStyle w:val="Enfasicorsivo"/>
          <w:i w:val="0"/>
          <w:color w:val="000000"/>
        </w:rPr>
        <w:t>p</w:t>
      </w:r>
      <w:r w:rsidRPr="003F3561">
        <w:rPr>
          <w:rStyle w:val="Enfasicorsivo"/>
          <w:i w:val="0"/>
          <w:color w:val="000000"/>
        </w:rPr>
        <w:t xml:space="preserve">riore e del Capitolo ed autorizzata con decreto di nomina arcivescovile è rivolta a sacerdoti diocesani che condividano le finalità statutarie e si siano distinti per servizi resi alla Diocesi o resi benemeriti per le loro qualifiche. Ovviamente tutti i </w:t>
      </w:r>
      <w:r w:rsidR="00CD3515" w:rsidRPr="003F3561">
        <w:rPr>
          <w:rStyle w:val="Enfasicorsivo"/>
          <w:i w:val="0"/>
          <w:color w:val="000000"/>
        </w:rPr>
        <w:t>Canonici</w:t>
      </w:r>
      <w:r w:rsidRPr="003F3561">
        <w:rPr>
          <w:rStyle w:val="Enfasicorsivo"/>
          <w:i w:val="0"/>
          <w:color w:val="000000"/>
        </w:rPr>
        <w:t xml:space="preserve"> effettivi risultano parroci o responsabili di uffici diocesani che impediscono loro molti altri impegni oltre quelli dell’”officiatura corale” pur tuttavia essi hanno</w:t>
      </w:r>
      <w:r w:rsidR="003F3561">
        <w:rPr>
          <w:rStyle w:val="Enfasicorsivo"/>
          <w:i w:val="0"/>
          <w:color w:val="000000"/>
        </w:rPr>
        <w:t xml:space="preserve"> ancora un ruolo di riferimento </w:t>
      </w:r>
      <w:r w:rsidRPr="003F3561">
        <w:rPr>
          <w:rStyle w:val="Enfasicorsivo"/>
          <w:i w:val="0"/>
          <w:color w:val="000000"/>
        </w:rPr>
        <w:t>e di prestigio all’interno del presbiterio diocesano.</w:t>
      </w:r>
    </w:p>
    <w:p w14:paraId="6B811A66" w14:textId="77777777" w:rsidR="00A13ECD" w:rsidRDefault="00A13ECD">
      <w:pPr>
        <w:pStyle w:val="NormaleWeb"/>
        <w:tabs>
          <w:tab w:val="left" w:pos="360"/>
        </w:tabs>
        <w:jc w:val="both"/>
      </w:pPr>
      <w:r>
        <w:t>Un'altra novità delle Costituzioni che applicano il nuovo ordinamento giuridico del 1983 è la figura del canonico penitenziere</w:t>
      </w:r>
      <w:r>
        <w:rPr>
          <w:rStyle w:val="Caratteredellanota"/>
        </w:rPr>
        <w:footnoteReference w:id="66"/>
      </w:r>
      <w:r>
        <w:t>. Rimangono invece invariati gli altri ruoli, come i camarlinghi, il segretario capitolare, ed i ruoli dei cappellani corali come tramandatici dalla tradizione. Ancora ampio spazio registrano le usanze liturgiche proprie della tradizione liturgica della Basilica laurenziana che riecheggiano i fasti medicei con le celebrazioni dell’</w:t>
      </w:r>
      <w:r>
        <w:rPr>
          <w:szCs w:val="22"/>
        </w:rPr>
        <w:t xml:space="preserve">Ufficio genera1e </w:t>
      </w:r>
      <w:r>
        <w:t xml:space="preserve">dei </w:t>
      </w:r>
      <w:r>
        <w:rPr>
          <w:szCs w:val="22"/>
        </w:rPr>
        <w:t xml:space="preserve">defunti detto della “Porrea” (il nome proviene dall’antica frittata con i porri che veniva offerta in quel giorno) per la famiglia Medicea, priori, </w:t>
      </w:r>
      <w:r w:rsidR="00CD3515">
        <w:rPr>
          <w:szCs w:val="22"/>
        </w:rPr>
        <w:t>canonici</w:t>
      </w:r>
      <w:r>
        <w:rPr>
          <w:szCs w:val="22"/>
        </w:rPr>
        <w:t xml:space="preserve">, cappellani e per tutti coloro che in qualche  modo sono appartenuti alla </w:t>
      </w:r>
      <w:r>
        <w:rPr>
          <w:iCs/>
        </w:rPr>
        <w:t>famiglia</w:t>
      </w:r>
      <w:r>
        <w:rPr>
          <w:i/>
          <w:iCs/>
        </w:rPr>
        <w:t xml:space="preserve"> </w:t>
      </w:r>
      <w:r>
        <w:rPr>
          <w:szCs w:val="22"/>
        </w:rPr>
        <w:t xml:space="preserve">Laurenziana. (un </w:t>
      </w:r>
      <w:r>
        <w:t xml:space="preserve">tempo </w:t>
      </w:r>
      <w:r>
        <w:rPr>
          <w:szCs w:val="22"/>
        </w:rPr>
        <w:t xml:space="preserve">si celebrava </w:t>
      </w:r>
      <w:r>
        <w:t xml:space="preserve">al </w:t>
      </w:r>
      <w:r>
        <w:rPr>
          <w:bCs/>
          <w:szCs w:val="18"/>
        </w:rPr>
        <w:t>1°</w:t>
      </w:r>
      <w:r>
        <w:rPr>
          <w:b/>
          <w:bCs/>
          <w:szCs w:val="18"/>
        </w:rPr>
        <w:t xml:space="preserve"> </w:t>
      </w:r>
      <w:r>
        <w:rPr>
          <w:bCs/>
          <w:szCs w:val="18"/>
        </w:rPr>
        <w:t>m</w:t>
      </w:r>
      <w:r>
        <w:rPr>
          <w:szCs w:val="22"/>
        </w:rPr>
        <w:t xml:space="preserve">erco1edì libero dopo la </w:t>
      </w:r>
      <w:r>
        <w:t xml:space="preserve">festa </w:t>
      </w:r>
      <w:r>
        <w:rPr>
          <w:szCs w:val="22"/>
        </w:rPr>
        <w:t xml:space="preserve">di S. Lorenzo; ora è stato rimesso al 2° mercoledì di settembre). Il 2 Novembre e per la “Porrea” si benedicono, secondo la consuetudine, dopo la Messa in canto, le tombe esistenti nel complesso Laurenziano, secondo </w:t>
      </w:r>
      <w:r>
        <w:t xml:space="preserve">le indicazioni dell’antico rituale locale </w:t>
      </w:r>
      <w:r>
        <w:rPr>
          <w:rStyle w:val="Caratteredellanota"/>
        </w:rPr>
        <w:footnoteReference w:id="67"/>
      </w:r>
      <w:r>
        <w:t xml:space="preserve">. </w:t>
      </w:r>
    </w:p>
    <w:p w14:paraId="52DEBE2E" w14:textId="77777777" w:rsidR="00A13ECD" w:rsidRDefault="00A13ECD">
      <w:pPr>
        <w:pStyle w:val="NormaleWeb"/>
        <w:tabs>
          <w:tab w:val="left" w:pos="360"/>
        </w:tabs>
        <w:jc w:val="both"/>
      </w:pPr>
      <w:r>
        <w:t xml:space="preserve">Una sfida, invece, che investe il Capitolo per il suo futuro e per continuare con profitto il proprio ruolo è dato da un altro articolo delle Costituzioni vigenti:  “E’ pure diritto-dovere del Priore curare la dignitosa vitalità del Capitolo, il regolare funzionamento e il retto ordinamento dell’ufficiatura corale e dello stesso servizio liturgico-pastorale, che il Capitolo laurenziano e i singoli suoi membri sono chiamati ad espletare a decoro della Basilica e a vantaggio della parrocchia </w:t>
      </w:r>
      <w:r>
        <w:br/>
        <w:t>Il priore concorda pure con i camarlinghi gli orari dell’ufficiatura corale e delle funzioni, cui il Capitolo prende parte, nei casi non previsti dall’apposita convenzione. D’intesa poi con il Capitolo medesimo,</w:t>
      </w:r>
      <w:r w:rsidR="003F3561">
        <w:t xml:space="preserve"> </w:t>
      </w:r>
      <w:r>
        <w:t xml:space="preserve">sia per i fedeli che per i turisti e visitatori, adotta disposizioni e accorgimenti per salvaguardare, in un monumento così insigne come il complesso laurenziano e specialmente nella basilica, le esigenze prioritarie della fede sull’arte, quali la necessaria libertà e la decenza dovuta, il rispetto e il silenzio per la preghiera, l’agibilità occorrente per le celebrazioni. Il priore, sempre in comune accordo con il Capitolo, per meglio precisare e garantire quanto previsto poco sopra, cura la </w:t>
      </w:r>
      <w:r>
        <w:lastRenderedPageBreak/>
        <w:t xml:space="preserve">stesura e l’attuazione di </w:t>
      </w:r>
      <w:r>
        <w:rPr>
          <w:szCs w:val="22"/>
        </w:rPr>
        <w:t xml:space="preserve">una </w:t>
      </w:r>
      <w:r>
        <w:t xml:space="preserve">apposita convenzione omnicomprensiva da rinnovarsi e aggiornarsi periodicamente, sottoponendola al preventivo nulla osta dell’Arcivescovo. </w:t>
      </w:r>
      <w:r>
        <w:rPr>
          <w:rStyle w:val="Caratteredellanota"/>
        </w:rPr>
        <w:footnoteReference w:id="68"/>
      </w:r>
    </w:p>
    <w:p w14:paraId="4632BF9B" w14:textId="77777777" w:rsidR="00A13ECD" w:rsidRDefault="00A13ECD">
      <w:pPr>
        <w:pStyle w:val="NormaleWeb"/>
        <w:tabs>
          <w:tab w:val="left" w:pos="360"/>
        </w:tabs>
        <w:jc w:val="both"/>
        <w:rPr>
          <w:b/>
        </w:rPr>
      </w:pPr>
      <w:r>
        <w:t xml:space="preserve">Questa convenzione, per altro di contenuto prevalentemente economico, è del 2 marzo1974 cioè redatta dal Capitolo ancora con le vecchie Costituzioni ed approvata dal Cardinale Arcivescovo Ermenegildo Florit. Essa attende ancora un suo aggiornamento per raccogliere le urgenti sollecitazioni che la nuova evangelizzazione sta ponendo alla realtà ecclesiale e che stimolano il Capitolo laurenziano affinché “Il Capitolo della Basilica di San Lorenzo, regolato dalle Sue Costituzioni, rinnovi il proprio impegno nel servire le funzioni più solenni e perpetui lo splendore della gloriosa Tradizione religiosa fiorentina che in questo luogo, autentico scrigno rinascimentale, ha trovato una concentrazione di fede e d’arte uniche nel mondo” </w:t>
      </w:r>
      <w:r>
        <w:rPr>
          <w:rStyle w:val="Caratteredellanota"/>
        </w:rPr>
        <w:footnoteReference w:id="69"/>
      </w:r>
    </w:p>
    <w:p w14:paraId="23ED6F6F" w14:textId="77777777" w:rsidR="00A13ECD" w:rsidRDefault="00A13ECD">
      <w:pPr>
        <w:ind w:right="-567"/>
        <w:jc w:val="both"/>
        <w:rPr>
          <w:b/>
        </w:rPr>
      </w:pPr>
      <w:r>
        <w:rPr>
          <w:b/>
        </w:rPr>
        <w:t>Conclusione</w:t>
      </w:r>
    </w:p>
    <w:p w14:paraId="66D8ABCC" w14:textId="77777777" w:rsidR="00A13ECD" w:rsidRDefault="00A13ECD">
      <w:pPr>
        <w:ind w:right="-567"/>
        <w:jc w:val="both"/>
        <w:rPr>
          <w:b/>
        </w:rPr>
      </w:pPr>
    </w:p>
    <w:p w14:paraId="21438CF9" w14:textId="77777777" w:rsidR="00A13ECD" w:rsidRDefault="00A13ECD">
      <w:pPr>
        <w:ind w:right="-567"/>
        <w:jc w:val="both"/>
      </w:pPr>
      <w:r>
        <w:t xml:space="preserve">Al termine di questa breve ricerca si impone una nota conclusiva che faccia emergere lo scopo del lavoro svolto e cioè far </w:t>
      </w:r>
      <w:r w:rsidR="003F3561">
        <w:t>apparire</w:t>
      </w:r>
      <w:r>
        <w:t xml:space="preserve"> l’identità originale del  Capitolo laurenziano nel suo lungo cammino di servizio liturgico, pastorale e culturale per l’Insigne Basilica. Il </w:t>
      </w:r>
      <w:r>
        <w:rPr>
          <w:i/>
        </w:rPr>
        <w:t>file rouge</w:t>
      </w:r>
      <w:r>
        <w:t xml:space="preserve"> è una fedeltà all’identità </w:t>
      </w:r>
      <w:r w:rsidR="003F3561">
        <w:t>dalla quale il Capitolo,</w:t>
      </w:r>
      <w:r>
        <w:t xml:space="preserve"> nel susseguirsi dei secoli, ha sempre attinto</w:t>
      </w:r>
      <w:r w:rsidR="008A3833">
        <w:t>. Essa, in estrema sintesi, è un</w:t>
      </w:r>
      <w:r>
        <w:t xml:space="preserve"> ruolo propulsivo </w:t>
      </w:r>
      <w:r w:rsidR="008A3833">
        <w:t>significativo</w:t>
      </w:r>
      <w:r>
        <w:t xml:space="preserve"> nel tessuto connettivo cittadino, dove la valenza sociale, culturale e religiosa hanno trovato, nella Basilica e nella sua gloriosa storia, un concentrato unico al mondo. E tale straordinario risultato, come abbiamo più volte notato attraverso l’analisi delle sue Costituzioni, ha </w:t>
      </w:r>
      <w:r w:rsidR="008A3833">
        <w:t>portato</w:t>
      </w:r>
      <w:r>
        <w:t xml:space="preserve"> nel Rinascimento </w:t>
      </w:r>
      <w:r w:rsidR="008A3833">
        <w:t>al</w:t>
      </w:r>
      <w:r>
        <w:t xml:space="preserve">la sua apoteosi, ma nell’incontro con Cristo e la Chiesa Cattolica, la sua verità permanente ed esigente. </w:t>
      </w:r>
    </w:p>
    <w:p w14:paraId="3783FA75" w14:textId="77777777" w:rsidR="00A13ECD" w:rsidRDefault="00A13ECD">
      <w:pPr>
        <w:ind w:right="-567"/>
        <w:jc w:val="both"/>
        <w:rPr>
          <w:spacing w:val="32"/>
        </w:rPr>
      </w:pPr>
    </w:p>
    <w:sectPr w:rsidR="00A13ECD">
      <w:headerReference w:type="even" r:id="rId21"/>
      <w:headerReference w:type="default" r:id="rId22"/>
      <w:footerReference w:type="even" r:id="rId23"/>
      <w:footerReference w:type="default" r:id="rId24"/>
      <w:headerReference w:type="first" r:id="rId25"/>
      <w:footerReference w:type="first" r:id="rId26"/>
      <w:pgSz w:w="11906" w:h="16838"/>
      <w:pgMar w:top="1417" w:right="1134" w:bottom="1134" w:left="1134"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E2F5FB" w14:textId="77777777" w:rsidR="00960F95" w:rsidRDefault="00960F95">
      <w:r>
        <w:separator/>
      </w:r>
    </w:p>
  </w:endnote>
  <w:endnote w:type="continuationSeparator" w:id="0">
    <w:p w14:paraId="7A0E3713" w14:textId="77777777" w:rsidR="00960F95" w:rsidRDefault="0096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IIHDK+TimesNewRoman">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IIHHA+TimesNewRoman">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F104E" w14:textId="77777777" w:rsidR="00AD68D8" w:rsidRDefault="00AD68D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EB90F" w14:textId="77777777" w:rsidR="00A13ECD" w:rsidRDefault="00AD68D8">
    <w:pPr>
      <w:pStyle w:val="Pidipagina"/>
      <w:ind w:right="360"/>
    </w:pPr>
    <w:r>
      <w:rPr>
        <w:noProof/>
      </w:rPr>
      <mc:AlternateContent>
        <mc:Choice Requires="wps">
          <w:drawing>
            <wp:anchor distT="0" distB="0" distL="0" distR="0" simplePos="0" relativeHeight="251657728" behindDoc="0" locked="0" layoutInCell="1" allowOverlap="1" wp14:anchorId="4E627606" wp14:editId="3256A3CA">
              <wp:simplePos x="0" y="0"/>
              <wp:positionH relativeFrom="page">
                <wp:posOffset>6687185</wp:posOffset>
              </wp:positionH>
              <wp:positionV relativeFrom="paragraph">
                <wp:posOffset>635</wp:posOffset>
              </wp:positionV>
              <wp:extent cx="152400" cy="174625"/>
              <wp:effectExtent l="0" t="0" r="0" b="0"/>
              <wp:wrapSquare wrapText="largest"/>
              <wp:docPr id="1262898410"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FB47F" w14:textId="77777777" w:rsidR="00A13ECD" w:rsidRDefault="00A13ECD">
                          <w:pPr>
                            <w:pStyle w:val="Pidipagina"/>
                          </w:pPr>
                          <w:r>
                            <w:rPr>
                              <w:rStyle w:val="Numeropagina"/>
                            </w:rPr>
                            <w:fldChar w:fldCharType="begin"/>
                          </w:r>
                          <w:r>
                            <w:rPr>
                              <w:rStyle w:val="Numeropagina"/>
                            </w:rPr>
                            <w:instrText xml:space="preserve"> PAGE </w:instrText>
                          </w:r>
                          <w:r>
                            <w:rPr>
                              <w:rStyle w:val="Numeropagina"/>
                            </w:rPr>
                            <w:fldChar w:fldCharType="separate"/>
                          </w:r>
                          <w:r w:rsidR="0073146D">
                            <w:rPr>
                              <w:rStyle w:val="Numeropagina"/>
                              <w:noProof/>
                            </w:rPr>
                            <w:t>17</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27606" id="_x0000_t202" coordsize="21600,21600" o:spt="202" path="m,l,21600r21600,l21600,xe">
              <v:stroke joinstyle="miter"/>
              <v:path gradientshapeok="t" o:connecttype="rect"/>
            </v:shapetype>
            <v:shape id=" 1" o:spid="_x0000_s1026" type="#_x0000_t202" style="position:absolute;margin-left:526.55pt;margin-top:.05pt;width:12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" stroked="f">
              <v:fill opacity="0"/>
              <v:path arrowok="t"/>
              <v:textbox inset="0,0,0,0">
                <w:txbxContent>
                  <w:p w14:paraId="6B1FB47F" w14:textId="77777777" w:rsidR="00A13ECD" w:rsidRDefault="00A13ECD">
                    <w:pPr>
                      <w:pStyle w:val="Pidipagina"/>
                    </w:pPr>
                    <w:r>
                      <w:rPr>
                        <w:rStyle w:val="Numeropagina"/>
                      </w:rPr>
                      <w:fldChar w:fldCharType="begin"/>
                    </w:r>
                    <w:r>
                      <w:rPr>
                        <w:rStyle w:val="Numeropagina"/>
                      </w:rPr>
                      <w:instrText xml:space="preserve"> PAGE </w:instrText>
                    </w:r>
                    <w:r>
                      <w:rPr>
                        <w:rStyle w:val="Numeropagina"/>
                      </w:rPr>
                      <w:fldChar w:fldCharType="separate"/>
                    </w:r>
                    <w:r w:rsidR="0073146D">
                      <w:rPr>
                        <w:rStyle w:val="Numeropagina"/>
                        <w:noProof/>
                      </w:rPr>
                      <w:t>17</w:t>
                    </w:r>
                    <w:r>
                      <w:rPr>
                        <w:rStyle w:val="Numeropagina"/>
                      </w:rPr>
                      <w:fldChar w:fldCharType="end"/>
                    </w: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87894" w14:textId="77777777" w:rsidR="00AD68D8" w:rsidRDefault="00AD68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25E6CC" w14:textId="77777777" w:rsidR="00960F95" w:rsidRDefault="00960F95">
      <w:r>
        <w:separator/>
      </w:r>
    </w:p>
  </w:footnote>
  <w:footnote w:type="continuationSeparator" w:id="0">
    <w:p w14:paraId="2270CE1C" w14:textId="77777777" w:rsidR="00960F95" w:rsidRDefault="00960F95">
      <w:r>
        <w:continuationSeparator/>
      </w:r>
    </w:p>
  </w:footnote>
  <w:footnote w:id="1">
    <w:p w14:paraId="7565594F" w14:textId="77777777" w:rsidR="00A13ECD" w:rsidRDefault="00A13ECD">
      <w:pPr>
        <w:rPr>
          <w:color w:val="2B2B2B"/>
          <w:sz w:val="20"/>
          <w:szCs w:val="20"/>
        </w:rPr>
      </w:pPr>
      <w:r>
        <w:rPr>
          <w:rStyle w:val="Caratteredellanota"/>
        </w:rPr>
        <w:footnoteRef/>
      </w:r>
      <w:r>
        <w:tab/>
        <w:t xml:space="preserve"> </w:t>
      </w:r>
      <w:r>
        <w:rPr>
          <w:sz w:val="20"/>
          <w:szCs w:val="20"/>
        </w:rPr>
        <w:t xml:space="preserve">Per il presente lavoro ho attinto dai famosi testi di: Biadi L., </w:t>
      </w:r>
      <w:r>
        <w:rPr>
          <w:i/>
          <w:sz w:val="20"/>
          <w:szCs w:val="20"/>
        </w:rPr>
        <w:t>Notizie sulle antiche fabbriche di Firenze non terminate e sulle variazioni alle quali i più ragguardevoli edifizi sono andati soggetti</w:t>
      </w:r>
      <w:r>
        <w:rPr>
          <w:sz w:val="20"/>
          <w:szCs w:val="20"/>
        </w:rPr>
        <w:t xml:space="preserve">, Firenze, 1824; Bocchi F. – Cinelli G., </w:t>
      </w:r>
      <w:r>
        <w:rPr>
          <w:i/>
          <w:sz w:val="20"/>
          <w:szCs w:val="20"/>
        </w:rPr>
        <w:t>Le bellezze della città di Firenze dove a pieno di pittura, di scultura, di sacri templi, i più notabili artizj e più preziosi si contengono</w:t>
      </w:r>
      <w:r>
        <w:rPr>
          <w:sz w:val="20"/>
          <w:szCs w:val="20"/>
        </w:rPr>
        <w:t xml:space="preserve">, Firenze, 1677; Brocchi G. M., </w:t>
      </w:r>
      <w:r>
        <w:rPr>
          <w:i/>
          <w:sz w:val="20"/>
          <w:szCs w:val="20"/>
        </w:rPr>
        <w:t>Vite de’ santi e Beati fiorentini</w:t>
      </w:r>
      <w:r>
        <w:rPr>
          <w:sz w:val="20"/>
          <w:szCs w:val="20"/>
        </w:rPr>
        <w:t xml:space="preserve">, (prima parte. Tomo I), Firenze, 1742; Brocchi G. M., </w:t>
      </w:r>
      <w:r>
        <w:rPr>
          <w:i/>
          <w:sz w:val="20"/>
          <w:szCs w:val="20"/>
        </w:rPr>
        <w:t>Vite de’ santi e Beati fiorentini</w:t>
      </w:r>
      <w:r>
        <w:rPr>
          <w:sz w:val="20"/>
          <w:szCs w:val="20"/>
        </w:rPr>
        <w:t xml:space="preserve">, (seconda parte. Tomo II), Firenze, 1761; Cianfogni P.N., </w:t>
      </w:r>
      <w:r>
        <w:rPr>
          <w:i/>
          <w:sz w:val="20"/>
          <w:szCs w:val="20"/>
        </w:rPr>
        <w:t>Memorie istoriche dell’Ambrosiana R. Basilica di S. Lorenzo</w:t>
      </w:r>
      <w:r>
        <w:rPr>
          <w:sz w:val="20"/>
          <w:szCs w:val="20"/>
        </w:rPr>
        <w:t xml:space="preserve">, Firenze, 1804; Moreni, D., </w:t>
      </w:r>
      <w:r>
        <w:rPr>
          <w:i/>
          <w:sz w:val="20"/>
          <w:szCs w:val="20"/>
        </w:rPr>
        <w:t>Continuazione della Memorie istoriche</w:t>
      </w:r>
      <w:r>
        <w:rPr>
          <w:sz w:val="20"/>
          <w:szCs w:val="20"/>
        </w:rPr>
        <w:t xml:space="preserve"> </w:t>
      </w:r>
      <w:r>
        <w:rPr>
          <w:i/>
          <w:sz w:val="20"/>
          <w:szCs w:val="20"/>
        </w:rPr>
        <w:t>dell’ Ambrosiana Basilica di San Lorenzo</w:t>
      </w:r>
      <w:r>
        <w:rPr>
          <w:sz w:val="20"/>
          <w:szCs w:val="20"/>
        </w:rPr>
        <w:t xml:space="preserve">, voll. I e II, Firenze, 1804; F. Fantozzi, </w:t>
      </w:r>
      <w:r>
        <w:rPr>
          <w:i/>
          <w:sz w:val="20"/>
          <w:szCs w:val="20"/>
        </w:rPr>
        <w:t xml:space="preserve">Nuova guida ovvero descrizione storico-artistico-critica della città e contorni di Firenze, </w:t>
      </w:r>
      <w:r>
        <w:rPr>
          <w:sz w:val="20"/>
          <w:szCs w:val="20"/>
        </w:rPr>
        <w:t xml:space="preserve"> Firenze, 1842; Lami G., </w:t>
      </w:r>
      <w:r>
        <w:rPr>
          <w:i/>
          <w:sz w:val="20"/>
          <w:szCs w:val="20"/>
        </w:rPr>
        <w:t>Sanctae Ecclesiae Florentinae Monumentae,</w:t>
      </w:r>
      <w:r>
        <w:rPr>
          <w:sz w:val="20"/>
          <w:szCs w:val="20"/>
        </w:rPr>
        <w:t xml:space="preserve"> I-III, Firenze, 1758; Lastri M., L’osservatore fiorentino sugli edizi della sua patria per servire alla storia della medesima, voll. 2, Firenze, 1776; Mecatti G.M., Storia genealogica della nobiltà e cittadinanza di Firenze</w:t>
      </w:r>
      <w:r>
        <w:rPr>
          <w:rFonts w:ascii="Verdana" w:hAnsi="Verdana" w:cs="Verdana"/>
          <w:color w:val="2B2B2B"/>
          <w:sz w:val="20"/>
          <w:szCs w:val="20"/>
        </w:rPr>
        <w:t xml:space="preserve">, </w:t>
      </w:r>
      <w:r>
        <w:rPr>
          <w:color w:val="2B2B2B"/>
          <w:sz w:val="20"/>
          <w:szCs w:val="20"/>
        </w:rPr>
        <w:t>o siano Annali della Toscana, Napoli, 1755</w:t>
      </w:r>
      <w:r>
        <w:rPr>
          <w:iCs/>
          <w:color w:val="2B2B2B"/>
          <w:sz w:val="20"/>
          <w:szCs w:val="20"/>
        </w:rPr>
        <w:t xml:space="preserve">; </w:t>
      </w:r>
      <w:r>
        <w:rPr>
          <w:sz w:val="20"/>
          <w:szCs w:val="20"/>
        </w:rPr>
        <w:t xml:space="preserve">Passerini L., </w:t>
      </w:r>
      <w:r>
        <w:rPr>
          <w:i/>
          <w:sz w:val="20"/>
          <w:szCs w:val="20"/>
        </w:rPr>
        <w:t>Storia degli stabilimenti di beneficenza e d’istruzione elementare gratuita della città di Firenze</w:t>
      </w:r>
      <w:r>
        <w:rPr>
          <w:sz w:val="20"/>
          <w:szCs w:val="20"/>
        </w:rPr>
        <w:t xml:space="preserve">, Firenze, 1853; Repetti E., </w:t>
      </w:r>
      <w:r>
        <w:rPr>
          <w:i/>
          <w:sz w:val="20"/>
          <w:szCs w:val="20"/>
        </w:rPr>
        <w:t>Dizionario geografico fisico storico della Toscana</w:t>
      </w:r>
      <w:r>
        <w:rPr>
          <w:sz w:val="20"/>
          <w:szCs w:val="20"/>
        </w:rPr>
        <w:t xml:space="preserve">, I-VI, Firenze, 1833-1846; Richa G., </w:t>
      </w:r>
      <w:r>
        <w:rPr>
          <w:i/>
          <w:sz w:val="20"/>
          <w:szCs w:val="20"/>
        </w:rPr>
        <w:t>Notizie istoriche delle chiese fiorentine divise ne’ suoi quartieri,</w:t>
      </w:r>
      <w:r>
        <w:rPr>
          <w:sz w:val="20"/>
          <w:szCs w:val="20"/>
        </w:rPr>
        <w:t xml:space="preserve"> I-IX, Firenze, 1754-1762; J. Rilli, </w:t>
      </w:r>
      <w:r>
        <w:rPr>
          <w:i/>
          <w:sz w:val="20"/>
          <w:szCs w:val="20"/>
        </w:rPr>
        <w:t>Notizie letterarie ed istoriche intorno agli uomini illustri dell’Accademia fiorentina</w:t>
      </w:r>
      <w:r>
        <w:rPr>
          <w:sz w:val="20"/>
          <w:szCs w:val="20"/>
        </w:rPr>
        <w:t>, Firenze, 1700</w:t>
      </w:r>
    </w:p>
    <w:p w14:paraId="4C201B44" w14:textId="77777777" w:rsidR="00A13ECD" w:rsidRDefault="00A13ECD">
      <w:pPr>
        <w:pStyle w:val="NormaleWeb"/>
        <w:shd w:val="clear" w:color="auto" w:fill="FFFFFF"/>
        <w:rPr>
          <w:color w:val="2B2B2B"/>
          <w:sz w:val="20"/>
          <w:szCs w:val="20"/>
        </w:rPr>
      </w:pPr>
    </w:p>
    <w:p w14:paraId="06C2EB61" w14:textId="77777777" w:rsidR="00A13ECD" w:rsidRDefault="00A13ECD">
      <w:pPr>
        <w:pStyle w:val="Testonotaapidipagina"/>
      </w:pPr>
    </w:p>
  </w:footnote>
  <w:footnote w:id="2">
    <w:p w14:paraId="7ECC9C63" w14:textId="77777777" w:rsidR="00A13ECD" w:rsidRDefault="00A13ECD">
      <w:r>
        <w:rPr>
          <w:rStyle w:val="Caratteredellanota"/>
        </w:rPr>
        <w:footnoteRef/>
      </w:r>
      <w:r>
        <w:tab/>
        <w:t xml:space="preserve"> </w:t>
      </w:r>
      <w:r>
        <w:rPr>
          <w:sz w:val="20"/>
        </w:rPr>
        <w:t>Per un approfondimento: Fliche A. e Martin V</w:t>
      </w:r>
      <w:r>
        <w:rPr>
          <w:i/>
          <w:sz w:val="20"/>
        </w:rPr>
        <w:t>., Storia della Chiesa</w:t>
      </w:r>
      <w:r>
        <w:rPr>
          <w:sz w:val="20"/>
        </w:rPr>
        <w:t xml:space="preserve">, vol. XVII, Torino, 1979;Jedin H., </w:t>
      </w:r>
      <w:r>
        <w:rPr>
          <w:i/>
          <w:sz w:val="20"/>
        </w:rPr>
        <w:t>Storia della Chiesa</w:t>
      </w:r>
      <w:r>
        <w:rPr>
          <w:sz w:val="20"/>
        </w:rPr>
        <w:t xml:space="preserve">, voll. VI e VII, Milano 1975; Sangalli M.,( a cura di) </w:t>
      </w:r>
      <w:r>
        <w:rPr>
          <w:i/>
          <w:sz w:val="20"/>
        </w:rPr>
        <w:t>Chierici, sacerdoti, clero e seminari in Italia tra XVI e XX secolo</w:t>
      </w:r>
      <w:r>
        <w:rPr>
          <w:sz w:val="20"/>
        </w:rPr>
        <w:t xml:space="preserve">, Roma, 2000; Sangalli M. (a cura di) </w:t>
      </w:r>
      <w:r>
        <w:rPr>
          <w:i/>
          <w:sz w:val="20"/>
        </w:rPr>
        <w:t>Pastori, pope, preti, rabbini. La formazione del ministro di culto in Europa (secoli XVI-XIX),</w:t>
      </w:r>
      <w:r>
        <w:rPr>
          <w:sz w:val="20"/>
        </w:rPr>
        <w:t xml:space="preserve"> Roma, 2005; Unione Apostolica del Clero - Federazione Italiana</w:t>
      </w:r>
      <w:r>
        <w:rPr>
          <w:i/>
          <w:sz w:val="20"/>
        </w:rPr>
        <w:t>, Il presbiterio nella storia, nella teologia, nelle chiese particolari</w:t>
      </w:r>
      <w:r>
        <w:rPr>
          <w:sz w:val="20"/>
        </w:rPr>
        <w:t xml:space="preserve">, Atti del XX convegno nazionale, Roma, 2008; T. Citrini, </w:t>
      </w:r>
      <w:r>
        <w:rPr>
          <w:i/>
          <w:sz w:val="20"/>
        </w:rPr>
        <w:t>Presbiterio e presbiteri</w:t>
      </w:r>
      <w:r>
        <w:rPr>
          <w:sz w:val="20"/>
        </w:rPr>
        <w:t xml:space="preserve">, vol. I e II, Milano, 2010; R. Vettori, </w:t>
      </w:r>
      <w:r>
        <w:rPr>
          <w:i/>
          <w:sz w:val="20"/>
        </w:rPr>
        <w:t>Lineamenti di storia religiosa fiorentina</w:t>
      </w:r>
      <w:r>
        <w:rPr>
          <w:sz w:val="20"/>
        </w:rPr>
        <w:t xml:space="preserve">, Firenze, 1972; U. Baldini e B. Nardini (a cura di) </w:t>
      </w:r>
      <w:r>
        <w:rPr>
          <w:i/>
          <w:sz w:val="20"/>
        </w:rPr>
        <w:t>San Lorenzo,</w:t>
      </w:r>
      <w:r>
        <w:rPr>
          <w:sz w:val="20"/>
        </w:rPr>
        <w:t xml:space="preserve"> Firenze, 1984</w:t>
      </w:r>
    </w:p>
  </w:footnote>
  <w:footnote w:id="3">
    <w:p w14:paraId="0A986BFE" w14:textId="77777777" w:rsidR="00A13ECD" w:rsidRDefault="00A13ECD">
      <w:pPr>
        <w:pStyle w:val="Testonotaapidipagina"/>
      </w:pPr>
      <w:r>
        <w:rPr>
          <w:rStyle w:val="Caratteredellanota"/>
        </w:rPr>
        <w:footnoteRef/>
      </w:r>
      <w:r>
        <w:tab/>
        <w:t xml:space="preserve"> A. Drigani, </w:t>
      </w:r>
      <w:r>
        <w:rPr>
          <w:i/>
        </w:rPr>
        <w:t>Le Costituzioni dell’Insigne Chiesa Collegiata di San Lorenzo del 1566-1617</w:t>
      </w:r>
      <w:r>
        <w:t xml:space="preserve"> in AA.VV., Studi in onore di Arnaldo D’Addario, Lecce, 1995 pagg. 965-966</w:t>
      </w:r>
    </w:p>
  </w:footnote>
  <w:footnote w:id="4">
    <w:p w14:paraId="1473A3A7" w14:textId="77777777" w:rsidR="00A13ECD" w:rsidRDefault="00A13ECD">
      <w:pPr>
        <w:pStyle w:val="Testonotaapidipagina"/>
      </w:pPr>
      <w:r>
        <w:rPr>
          <w:rStyle w:val="Caratteredellanota"/>
        </w:rPr>
        <w:footnoteRef/>
      </w:r>
      <w:r>
        <w:tab/>
        <w:t xml:space="preserve"> PL </w:t>
      </w:r>
      <w:r>
        <w:rPr>
          <w:iCs/>
        </w:rPr>
        <w:t>16,335-364</w:t>
      </w:r>
      <w:r>
        <w:t xml:space="preserve"> oppure cfr. Sant’Ambrogio, Opere morali II/II. Verginità e vedovanza, a cura di F. Gori, Milano-Roma, 1989, pagg. 198-271</w:t>
      </w:r>
    </w:p>
  </w:footnote>
  <w:footnote w:id="5">
    <w:p w14:paraId="3359EFDF" w14:textId="77777777" w:rsidR="00A13ECD" w:rsidRDefault="00A13ECD">
      <w:pPr>
        <w:pStyle w:val="Testonotaapidipagina"/>
      </w:pPr>
      <w:r>
        <w:rPr>
          <w:rStyle w:val="Caratteredellanota"/>
        </w:rPr>
        <w:footnoteRef/>
      </w:r>
      <w:r>
        <w:tab/>
        <w:t xml:space="preserve"> Paolino, Vita di Ambrogio, PL  27,28,29 </w:t>
      </w:r>
    </w:p>
  </w:footnote>
  <w:footnote w:id="6">
    <w:p w14:paraId="1C540C50" w14:textId="77777777" w:rsidR="00A13ECD" w:rsidRDefault="00A13ECD">
      <w:r>
        <w:rPr>
          <w:rStyle w:val="Caratteredellanota"/>
        </w:rPr>
        <w:footnoteRef/>
      </w:r>
      <w:r>
        <w:rPr>
          <w:sz w:val="20"/>
          <w:szCs w:val="20"/>
        </w:rPr>
        <w:tab/>
        <w:t xml:space="preserve"> P.N. Cianfogni, </w:t>
      </w:r>
      <w:r>
        <w:rPr>
          <w:i/>
          <w:sz w:val="20"/>
          <w:szCs w:val="20"/>
        </w:rPr>
        <w:t>Memorie istoriche dell’ambrosiana basilica di San Lorenzo di Firenze</w:t>
      </w:r>
      <w:r>
        <w:rPr>
          <w:sz w:val="20"/>
          <w:szCs w:val="20"/>
        </w:rPr>
        <w:t>, Firenze, 1804 pagg. 63-66</w:t>
      </w:r>
    </w:p>
  </w:footnote>
  <w:footnote w:id="7">
    <w:p w14:paraId="5F692BC8" w14:textId="77777777" w:rsidR="00A13ECD" w:rsidRDefault="00A13ECD">
      <w:r>
        <w:rPr>
          <w:rStyle w:val="Caratteredellanota"/>
        </w:rPr>
        <w:footnoteRef/>
      </w:r>
      <w:r>
        <w:rPr>
          <w:sz w:val="20"/>
        </w:rPr>
        <w:tab/>
        <w:t xml:space="preserve"> ACL (Archivio Capitolare Laurenziano) Pergamena 135 del 16 novembre l532; Bullarium Laurentianum pp. 268—277</w:t>
      </w:r>
    </w:p>
  </w:footnote>
  <w:footnote w:id="8">
    <w:p w14:paraId="60C185E0" w14:textId="77777777" w:rsidR="00A13ECD" w:rsidRDefault="00A13ECD">
      <w:pPr>
        <w:pStyle w:val="Testonotaapidipagina"/>
      </w:pPr>
      <w:r>
        <w:rPr>
          <w:rStyle w:val="Caratteredellanota"/>
        </w:rPr>
        <w:footnoteRef/>
      </w:r>
      <w:r>
        <w:tab/>
        <w:t xml:space="preserve"> R. Piattoli, </w:t>
      </w:r>
      <w:r>
        <w:rPr>
          <w:i/>
        </w:rPr>
        <w:t>le carte della canonica della Cattedrale di Firenze</w:t>
      </w:r>
      <w:r>
        <w:t>, Firenze, 1938 oppure AAVV</w:t>
      </w:r>
      <w:r>
        <w:rPr>
          <w:i/>
        </w:rPr>
        <w:t>. La presenza di S. Ambrogio a Firenze</w:t>
      </w:r>
      <w:r>
        <w:t>, convegno studi ambrosiani, Firenze,  1994, pagg. 33-42</w:t>
      </w:r>
    </w:p>
  </w:footnote>
  <w:footnote w:id="9">
    <w:p w14:paraId="7B39C3A1" w14:textId="77777777" w:rsidR="00A13ECD" w:rsidRDefault="00A13ECD">
      <w:pPr>
        <w:pStyle w:val="Testonotaapidipagina"/>
      </w:pPr>
      <w:r>
        <w:rPr>
          <w:rStyle w:val="Caratteredellanota"/>
        </w:rPr>
        <w:footnoteRef/>
      </w:r>
      <w:r>
        <w:tab/>
        <w:t xml:space="preserve"> ACL</w:t>
      </w:r>
      <w:r>
        <w:rPr>
          <w:i/>
          <w:iCs/>
        </w:rPr>
        <w:t xml:space="preserve"> </w:t>
      </w:r>
      <w:r>
        <w:t>Perg. 301, Bullarium Laur. pp. 15-17</w:t>
      </w:r>
    </w:p>
  </w:footnote>
  <w:footnote w:id="10">
    <w:p w14:paraId="7212EED9" w14:textId="77777777" w:rsidR="00A13ECD" w:rsidRDefault="00A13ECD">
      <w:r>
        <w:rPr>
          <w:rStyle w:val="Caratteredellanota"/>
        </w:rPr>
        <w:footnoteRef/>
      </w:r>
      <w:r>
        <w:rPr>
          <w:sz w:val="20"/>
          <w:szCs w:val="20"/>
        </w:rPr>
        <w:tab/>
        <w:t xml:space="preserve"> ACL Perg. 295; Bu1l. Laur. 31—32</w:t>
      </w:r>
    </w:p>
  </w:footnote>
  <w:footnote w:id="11">
    <w:p w14:paraId="5B61E24F" w14:textId="77777777" w:rsidR="00A13ECD" w:rsidRDefault="00A13ECD">
      <w:r>
        <w:rPr>
          <w:rStyle w:val="Caratteredellanota"/>
        </w:rPr>
        <w:footnoteRef/>
      </w:r>
      <w:r w:rsidRPr="00662012">
        <w:tab/>
        <w:t xml:space="preserve"> </w:t>
      </w:r>
      <w:r w:rsidRPr="00662012">
        <w:rPr>
          <w:sz w:val="20"/>
          <w:szCs w:val="20"/>
        </w:rPr>
        <w:t xml:space="preserve">ACL Perg. 306; Bull. Laur. pp. </w:t>
      </w:r>
      <w:r w:rsidRPr="00662012">
        <w:rPr>
          <w:iCs/>
          <w:sz w:val="20"/>
          <w:szCs w:val="20"/>
        </w:rPr>
        <w:t>33—35</w:t>
      </w:r>
    </w:p>
  </w:footnote>
  <w:footnote w:id="12">
    <w:p w14:paraId="5533C4B1" w14:textId="77777777" w:rsidR="00A13ECD" w:rsidRDefault="00A13ECD">
      <w:r>
        <w:rPr>
          <w:rStyle w:val="Caratteredellanota"/>
        </w:rPr>
        <w:footnoteRef/>
      </w:r>
      <w:r>
        <w:rPr>
          <w:sz w:val="20"/>
          <w:szCs w:val="20"/>
        </w:rPr>
        <w:tab/>
        <w:t xml:space="preserve"> N. Cianfogni, op. cit. pagg. 107-109</w:t>
      </w:r>
    </w:p>
  </w:footnote>
  <w:footnote w:id="13">
    <w:p w14:paraId="3E0DABE4" w14:textId="77777777" w:rsidR="00A13ECD" w:rsidRDefault="00A13ECD">
      <w:pPr>
        <w:pStyle w:val="Testonotaapidipagina"/>
      </w:pPr>
      <w:r>
        <w:rPr>
          <w:rStyle w:val="Caratteredellanota"/>
        </w:rPr>
        <w:footnoteRef/>
      </w:r>
      <w:r>
        <w:tab/>
        <w:t xml:space="preserve"> </w:t>
      </w:r>
      <w:r>
        <w:rPr>
          <w:iCs/>
        </w:rPr>
        <w:t>W. A Bowsky La</w:t>
      </w:r>
      <w:r>
        <w:rPr>
          <w:i/>
          <w:iCs/>
        </w:rPr>
        <w:t xml:space="preserve"> chiesa di San Lorenzo a Firenze nel medioevo</w:t>
      </w:r>
      <w:r>
        <w:rPr>
          <w:iCs/>
        </w:rPr>
        <w:t>, Firenze, 1999</w:t>
      </w:r>
    </w:p>
  </w:footnote>
  <w:footnote w:id="14">
    <w:p w14:paraId="2D8831C1" w14:textId="77777777" w:rsidR="00A13ECD" w:rsidRDefault="00A13ECD">
      <w:r>
        <w:rPr>
          <w:rStyle w:val="Caratteredellanota"/>
        </w:rPr>
        <w:footnoteRef/>
      </w:r>
      <w:r>
        <w:rPr>
          <w:sz w:val="20"/>
          <w:szCs w:val="20"/>
        </w:rPr>
        <w:tab/>
        <w:t xml:space="preserve"> S. Santi, </w:t>
      </w:r>
      <w:r>
        <w:rPr>
          <w:i/>
          <w:sz w:val="20"/>
          <w:szCs w:val="20"/>
        </w:rPr>
        <w:t>In populo Sancti Laurentii,</w:t>
      </w:r>
      <w:r>
        <w:rPr>
          <w:sz w:val="20"/>
          <w:szCs w:val="20"/>
        </w:rPr>
        <w:t xml:space="preserve"> Firenze, 2008, pag. 20-25</w:t>
      </w:r>
    </w:p>
  </w:footnote>
  <w:footnote w:id="15">
    <w:p w14:paraId="5CE9907A" w14:textId="77777777" w:rsidR="00A13ECD" w:rsidRDefault="00A13ECD">
      <w:pPr>
        <w:pStyle w:val="Testonotaapidipagina"/>
      </w:pPr>
      <w:r>
        <w:rPr>
          <w:rStyle w:val="Caratteredellanota"/>
        </w:rPr>
        <w:footnoteRef/>
      </w:r>
      <w:r>
        <w:tab/>
        <w:t xml:space="preserve"> </w:t>
      </w:r>
      <w:r>
        <w:rPr>
          <w:iCs/>
        </w:rPr>
        <w:t xml:space="preserve">G. Fanelli, </w:t>
      </w:r>
      <w:r>
        <w:rPr>
          <w:i/>
          <w:iCs/>
        </w:rPr>
        <w:t>Architettura e città</w:t>
      </w:r>
      <w:r>
        <w:rPr>
          <w:iCs/>
        </w:rPr>
        <w:t>, Atlante, Firenze, 1973 pag. 28 fig. 16</w:t>
      </w:r>
    </w:p>
  </w:footnote>
  <w:footnote w:id="16">
    <w:p w14:paraId="07589096" w14:textId="77777777" w:rsidR="00A13ECD" w:rsidRDefault="00A13ECD">
      <w:pPr>
        <w:pStyle w:val="Testonotaapidipagina"/>
      </w:pPr>
      <w:r>
        <w:rPr>
          <w:rStyle w:val="Caratteredellanota"/>
        </w:rPr>
        <w:footnoteRef/>
      </w:r>
      <w:r>
        <w:tab/>
        <w:t>R. Davidson, S</w:t>
      </w:r>
      <w:r>
        <w:rPr>
          <w:i/>
        </w:rPr>
        <w:t>toria di Firenze</w:t>
      </w:r>
      <w:r>
        <w:t>, Firenze, 1965 vol. I pag. 321 e P. Brown,</w:t>
      </w:r>
      <w:r>
        <w:rPr>
          <w:i/>
        </w:rPr>
        <w:t xml:space="preserve"> Il Culto dei Santi,</w:t>
      </w:r>
      <w:r>
        <w:t xml:space="preserve"> Torino, 2002</w:t>
      </w:r>
    </w:p>
  </w:footnote>
  <w:footnote w:id="17">
    <w:p w14:paraId="6BAF6C0F" w14:textId="77777777" w:rsidR="00A13ECD" w:rsidRDefault="00A13ECD">
      <w:pPr>
        <w:jc w:val="both"/>
      </w:pPr>
      <w:r>
        <w:rPr>
          <w:rStyle w:val="Caratteredellanota"/>
        </w:rPr>
        <w:footnoteRef/>
      </w:r>
      <w:r>
        <w:rPr>
          <w:sz w:val="20"/>
          <w:szCs w:val="20"/>
        </w:rPr>
        <w:tab/>
        <w:t xml:space="preserve"> F. Sznura, </w:t>
      </w:r>
      <w:r>
        <w:rPr>
          <w:i/>
          <w:sz w:val="20"/>
          <w:szCs w:val="20"/>
        </w:rPr>
        <w:t>L’espansione urbana di Firenze nel dugento,</w:t>
      </w:r>
      <w:r>
        <w:rPr>
          <w:sz w:val="20"/>
          <w:szCs w:val="20"/>
        </w:rPr>
        <w:t xml:space="preserve"> Firenze, 1976, pagg. 43-45</w:t>
      </w:r>
    </w:p>
    <w:p w14:paraId="43D163AD" w14:textId="77777777" w:rsidR="00A13ECD" w:rsidRDefault="00A13ECD">
      <w:pPr>
        <w:pStyle w:val="Testonotaapidipagina"/>
      </w:pPr>
    </w:p>
  </w:footnote>
  <w:footnote w:id="18">
    <w:p w14:paraId="52E9B0CC" w14:textId="77777777" w:rsidR="00A13ECD" w:rsidRDefault="00A13ECD">
      <w:pPr>
        <w:pStyle w:val="Testonotaapidipagina"/>
      </w:pPr>
      <w:r>
        <w:rPr>
          <w:rStyle w:val="Caratteredellanota"/>
        </w:rPr>
        <w:footnoteRef/>
      </w:r>
      <w:r>
        <w:tab/>
        <w:t xml:space="preserve"> ACL 2132, 2136, 2134, 2133 e le attuali vigenti edite il 10 agosto 2010</w:t>
      </w:r>
    </w:p>
  </w:footnote>
  <w:footnote w:id="19">
    <w:p w14:paraId="6A3070DA" w14:textId="77777777" w:rsidR="00A13ECD" w:rsidRDefault="00A13ECD">
      <w:pPr>
        <w:pStyle w:val="Testonotaapidipagina"/>
      </w:pPr>
      <w:r>
        <w:rPr>
          <w:rStyle w:val="Caratteredellanota"/>
        </w:rPr>
        <w:footnoteRef/>
      </w:r>
      <w:r>
        <w:tab/>
        <w:t xml:space="preserve"> </w:t>
      </w:r>
      <w:r>
        <w:rPr>
          <w:iCs/>
        </w:rPr>
        <w:t>ASF (Archivio di Stato di Firenze) 844</w:t>
      </w:r>
    </w:p>
  </w:footnote>
  <w:footnote w:id="20">
    <w:p w14:paraId="5F6646DE" w14:textId="77777777" w:rsidR="00A13ECD" w:rsidRDefault="00A13ECD">
      <w:r>
        <w:rPr>
          <w:rStyle w:val="Caratteredellanota"/>
        </w:rPr>
        <w:footnoteRef/>
      </w:r>
      <w:r>
        <w:rPr>
          <w:sz w:val="20"/>
          <w:szCs w:val="20"/>
        </w:rPr>
        <w:tab/>
        <w:t xml:space="preserve"> ACL 2132 ma confronta anche Cianfogni, op. cit. pag. 165-170</w:t>
      </w:r>
    </w:p>
  </w:footnote>
  <w:footnote w:id="21">
    <w:p w14:paraId="71B98D29" w14:textId="77777777" w:rsidR="00A13ECD" w:rsidRPr="00662012" w:rsidRDefault="00A13ECD">
      <w:pPr>
        <w:pStyle w:val="Testonotaapidipagina"/>
        <w:rPr>
          <w:lang w:val="en-GB"/>
        </w:rPr>
      </w:pPr>
      <w:r>
        <w:rPr>
          <w:rStyle w:val="Caratteredellanota"/>
        </w:rPr>
        <w:footnoteRef/>
      </w:r>
      <w:r>
        <w:rPr>
          <w:lang w:val="en-GB"/>
        </w:rPr>
        <w:tab/>
        <w:t xml:space="preserve"> </w:t>
      </w:r>
      <w:r>
        <w:rPr>
          <w:iCs/>
          <w:lang w:val="en-GB"/>
        </w:rPr>
        <w:t>W. A. Bowsky, op. cit. pag. 252</w:t>
      </w:r>
    </w:p>
  </w:footnote>
  <w:footnote w:id="22">
    <w:p w14:paraId="766947EA" w14:textId="77777777" w:rsidR="00A13ECD" w:rsidRDefault="00A13ECD">
      <w:pPr>
        <w:pStyle w:val="Testonotaapidipagina"/>
      </w:pPr>
      <w:r>
        <w:rPr>
          <w:rStyle w:val="Caratteredellanota"/>
        </w:rPr>
        <w:footnoteRef/>
      </w:r>
      <w:r>
        <w:rPr>
          <w:lang w:val="en-GB"/>
        </w:rPr>
        <w:tab/>
        <w:t xml:space="preserve"> </w:t>
      </w:r>
      <w:r>
        <w:rPr>
          <w:iCs/>
          <w:lang w:val="en-GB"/>
        </w:rPr>
        <w:t xml:space="preserve">W. A. Bowsky, in AAVV. </w:t>
      </w:r>
      <w:r>
        <w:rPr>
          <w:iCs/>
        </w:rPr>
        <w:t>(a cura di P. Viti),</w:t>
      </w:r>
      <w:r>
        <w:rPr>
          <w:i/>
          <w:iCs/>
        </w:rPr>
        <w:t>Il Capitolo di San Lorenzo nel quattrocento,</w:t>
      </w:r>
      <w:r>
        <w:rPr>
          <w:iCs/>
        </w:rPr>
        <w:t xml:space="preserve"> Firenze, 2006, pagg. 5-11</w:t>
      </w:r>
    </w:p>
  </w:footnote>
  <w:footnote w:id="23">
    <w:p w14:paraId="3FF8DD1C" w14:textId="77777777" w:rsidR="00A13ECD" w:rsidRDefault="00A13ECD">
      <w:r>
        <w:rPr>
          <w:rStyle w:val="Caratteredellanota"/>
        </w:rPr>
        <w:footnoteRef/>
      </w:r>
      <w:r>
        <w:rPr>
          <w:sz w:val="20"/>
          <w:szCs w:val="20"/>
        </w:rPr>
        <w:tab/>
        <w:t xml:space="preserve"> </w:t>
      </w:r>
      <w:r>
        <w:rPr>
          <w:iCs/>
          <w:sz w:val="20"/>
          <w:szCs w:val="20"/>
        </w:rPr>
        <w:t xml:space="preserve">P. N. Cianfogni, op. cit. pagg. 129-130; </w:t>
      </w:r>
      <w:r>
        <w:rPr>
          <w:sz w:val="20"/>
          <w:szCs w:val="20"/>
        </w:rPr>
        <w:t>AAVV, La vita comune del clero nei secoli XI e XII, atti della Settimana di studio, Mendola, settembre 1959 (Pubblicazioni dell'Università Cattolica del Sacro Cuore. Miscellanea del Centro di Studi medioevali, 3), Milano 1962;C. V</w:t>
      </w:r>
      <w:r w:rsidR="00CD3515">
        <w:rPr>
          <w:sz w:val="20"/>
          <w:szCs w:val="20"/>
        </w:rPr>
        <w:t>iolante</w:t>
      </w:r>
      <w:r>
        <w:rPr>
          <w:sz w:val="20"/>
          <w:szCs w:val="20"/>
        </w:rPr>
        <w:t>, Ricerche sulle istituzioni ecclesiastiche dell'Italia centro-settentrionale nel Medioevo, Palermo 1986</w:t>
      </w:r>
    </w:p>
  </w:footnote>
  <w:footnote w:id="24">
    <w:p w14:paraId="494753D0" w14:textId="77777777" w:rsidR="00A13ECD" w:rsidRDefault="00A13ECD">
      <w:pPr>
        <w:pStyle w:val="Testonotaapidipagina"/>
      </w:pPr>
      <w:r>
        <w:rPr>
          <w:rStyle w:val="Caratteredellanota"/>
        </w:rPr>
        <w:footnoteRef/>
      </w:r>
      <w:r>
        <w:tab/>
        <w:t xml:space="preserve"> </w:t>
      </w:r>
      <w:r>
        <w:rPr>
          <w:rFonts w:cs="AIIHDK+TimesNewRoman"/>
          <w:color w:val="000000"/>
        </w:rPr>
        <w:t>PL LVII, 680</w:t>
      </w:r>
    </w:p>
  </w:footnote>
  <w:footnote w:id="25">
    <w:p w14:paraId="506727D5" w14:textId="77777777" w:rsidR="00A13ECD" w:rsidRDefault="00A13ECD">
      <w:pPr>
        <w:pStyle w:val="Testonotaapidipagina"/>
      </w:pPr>
      <w:r>
        <w:rPr>
          <w:rStyle w:val="Caratteredellanota"/>
        </w:rPr>
        <w:footnoteRef/>
      </w:r>
      <w:r>
        <w:tab/>
        <w:t xml:space="preserve"> </w:t>
      </w:r>
      <w:r>
        <w:rPr>
          <w:iCs/>
        </w:rPr>
        <w:t>ASL 2173, 1-7</w:t>
      </w:r>
    </w:p>
  </w:footnote>
  <w:footnote w:id="26">
    <w:p w14:paraId="206FE4FB" w14:textId="77777777" w:rsidR="00A13ECD" w:rsidRDefault="00A13ECD">
      <w:pPr>
        <w:pStyle w:val="Testonotaapidipagina"/>
      </w:pPr>
      <w:r>
        <w:rPr>
          <w:rStyle w:val="Caratteredellanota"/>
        </w:rPr>
        <w:footnoteRef/>
      </w:r>
      <w:r>
        <w:tab/>
        <w:t xml:space="preserve"> </w:t>
      </w:r>
      <w:r>
        <w:rPr>
          <w:iCs/>
        </w:rPr>
        <w:t>P.N. Cianfogni. Op. cit. pag. 158-159</w:t>
      </w:r>
    </w:p>
  </w:footnote>
  <w:footnote w:id="27">
    <w:p w14:paraId="7FB03969" w14:textId="77777777" w:rsidR="00A13ECD" w:rsidRDefault="00A13ECD">
      <w:r>
        <w:rPr>
          <w:rStyle w:val="Caratteredellanota"/>
        </w:rPr>
        <w:footnoteRef/>
      </w:r>
      <w:r>
        <w:tab/>
        <w:t xml:space="preserve"> </w:t>
      </w:r>
      <w:r>
        <w:rPr>
          <w:sz w:val="20"/>
          <w:szCs w:val="20"/>
        </w:rPr>
        <w:t xml:space="preserve">n. 23 op. cit.  AA.VV. ( a cura di P. Viti), </w:t>
      </w:r>
      <w:r>
        <w:rPr>
          <w:i/>
          <w:sz w:val="20"/>
          <w:szCs w:val="20"/>
        </w:rPr>
        <w:t>Il Capitolo di San Lorenzo nel quattrocento,</w:t>
      </w:r>
      <w:r>
        <w:rPr>
          <w:sz w:val="20"/>
          <w:szCs w:val="20"/>
        </w:rPr>
        <w:t xml:space="preserve"> Firenze, 2006</w:t>
      </w:r>
    </w:p>
  </w:footnote>
  <w:footnote w:id="28">
    <w:p w14:paraId="2697753F" w14:textId="77777777" w:rsidR="00A13ECD" w:rsidRDefault="00A13ECD">
      <w:pPr>
        <w:pStyle w:val="Testonotaapidipagina"/>
      </w:pPr>
      <w:r>
        <w:rPr>
          <w:rStyle w:val="Caratteredellanota"/>
        </w:rPr>
        <w:footnoteRef/>
      </w:r>
      <w:r>
        <w:tab/>
        <w:t xml:space="preserve"> </w:t>
      </w:r>
      <w:r>
        <w:rPr>
          <w:iCs/>
        </w:rPr>
        <w:t xml:space="preserve">ASL 2136; per un approfondimento del testo delle suddette Costituzioni  cfr. A. Drigani, op. cit. </w:t>
      </w:r>
    </w:p>
  </w:footnote>
  <w:footnote w:id="29">
    <w:p w14:paraId="1B79AE5B" w14:textId="77777777" w:rsidR="00A13ECD" w:rsidRDefault="00A13ECD">
      <w:pPr>
        <w:pStyle w:val="Testonotaapidipagina"/>
      </w:pPr>
      <w:r>
        <w:rPr>
          <w:rStyle w:val="Caratteredellanota"/>
        </w:rPr>
        <w:footnoteRef/>
      </w:r>
      <w:r>
        <w:tab/>
        <w:t xml:space="preserve"> Il Concilio di Trento si occupò dell’ordinamento dei Capitoli canonicali nelle sess. </w:t>
      </w:r>
      <w:r w:rsidRPr="00662012">
        <w:rPr>
          <w:lang w:val="en-GB"/>
        </w:rPr>
        <w:t xml:space="preserve">V cann. I e II; sess. XXI can. III; sess. </w:t>
      </w:r>
      <w:r>
        <w:t>XXII cann. III e IV; sess. XXIII can. VI; sess. XXIV cann. IV-VIII-XIII-XIV-XV) per il testo cfr. G. Alberigo, G. Dossetti, P:P. Joannou, C. Leonardi, P. Prodi, Concilium Oecumenicorum Decreta , Bologna, 1991, pp. 666-668, 728-729, 738-739, 747, 766-769.</w:t>
      </w:r>
    </w:p>
  </w:footnote>
  <w:footnote w:id="30">
    <w:p w14:paraId="2622A2F1" w14:textId="77777777" w:rsidR="00A13ECD" w:rsidRDefault="00A13ECD">
      <w:pPr>
        <w:pStyle w:val="Testonotaapidipagina"/>
      </w:pPr>
      <w:r>
        <w:rPr>
          <w:rStyle w:val="Caratteredellanota"/>
        </w:rPr>
        <w:footnoteRef/>
      </w:r>
      <w:r>
        <w:tab/>
        <w:t xml:space="preserve"> D. Moreni, op. cit. I, pagg. 325-329</w:t>
      </w:r>
    </w:p>
  </w:footnote>
  <w:footnote w:id="31">
    <w:p w14:paraId="19D1AEC7" w14:textId="77777777" w:rsidR="00A13ECD" w:rsidRDefault="00A13ECD">
      <w:pPr>
        <w:pStyle w:val="Testonotaapidipagina"/>
      </w:pPr>
      <w:r>
        <w:rPr>
          <w:rStyle w:val="Caratteredellanota"/>
        </w:rPr>
        <w:footnoteRef/>
      </w:r>
      <w:r>
        <w:tab/>
        <w:t xml:space="preserve"> ACL 2136 cap. I e V</w:t>
      </w:r>
    </w:p>
  </w:footnote>
  <w:footnote w:id="32">
    <w:p w14:paraId="1C2AB6C0" w14:textId="77777777" w:rsidR="00A13ECD" w:rsidRDefault="00A13ECD">
      <w:pPr>
        <w:pStyle w:val="Testonotaapidipagina"/>
      </w:pPr>
      <w:r>
        <w:rPr>
          <w:rStyle w:val="Caratteredellanota"/>
        </w:rPr>
        <w:footnoteRef/>
      </w:r>
      <w:r>
        <w:tab/>
        <w:t xml:space="preserve"> ACL 2136, capp. II, IV e VII</w:t>
      </w:r>
    </w:p>
  </w:footnote>
  <w:footnote w:id="33">
    <w:p w14:paraId="2DB1AEE8" w14:textId="77777777" w:rsidR="00A13ECD" w:rsidRDefault="00A13ECD">
      <w:pPr>
        <w:pStyle w:val="Testonotaapidipagina"/>
      </w:pPr>
      <w:r>
        <w:rPr>
          <w:rStyle w:val="Caratteredellanota"/>
        </w:rPr>
        <w:footnoteRef/>
      </w:r>
      <w:r>
        <w:tab/>
        <w:t xml:space="preserve"> ACL 2136 capp. XVIII, XX, XXII,</w:t>
      </w:r>
    </w:p>
  </w:footnote>
  <w:footnote w:id="34">
    <w:p w14:paraId="148FB4E1" w14:textId="77777777" w:rsidR="00A13ECD" w:rsidRDefault="00A13ECD">
      <w:pPr>
        <w:pStyle w:val="Testonotaapidipagina"/>
      </w:pPr>
      <w:r>
        <w:rPr>
          <w:rStyle w:val="Caratteredellanota"/>
        </w:rPr>
        <w:footnoteRef/>
      </w:r>
      <w:r>
        <w:tab/>
        <w:t xml:space="preserve"> ASF, Catasto, </w:t>
      </w:r>
      <w:r>
        <w:rPr>
          <w:i/>
        </w:rPr>
        <w:t>indice generale dei possidenti della Toscana</w:t>
      </w:r>
      <w:r>
        <w:t>, vol. VII, lett. C, pagg. 445-446</w:t>
      </w:r>
    </w:p>
  </w:footnote>
  <w:footnote w:id="35">
    <w:p w14:paraId="681AD0DC" w14:textId="77777777" w:rsidR="00A13ECD" w:rsidRDefault="00A13ECD">
      <w:pPr>
        <w:pStyle w:val="Testonotaapidipagina"/>
      </w:pPr>
      <w:r>
        <w:rPr>
          <w:rStyle w:val="Caratteredellanota"/>
        </w:rPr>
        <w:footnoteRef/>
      </w:r>
      <w:r>
        <w:tab/>
        <w:t xml:space="preserve"> D: Moreni, op. cit. pagg. 11-18</w:t>
      </w:r>
    </w:p>
  </w:footnote>
  <w:footnote w:id="36">
    <w:p w14:paraId="67CB7FCE" w14:textId="77777777" w:rsidR="00A13ECD" w:rsidRDefault="00A13ECD">
      <w:pPr>
        <w:pStyle w:val="Testonotaapidipagina"/>
      </w:pPr>
      <w:r>
        <w:rPr>
          <w:rStyle w:val="Caratteredellanota"/>
        </w:rPr>
        <w:footnoteRef/>
      </w:r>
      <w:r>
        <w:tab/>
        <w:t xml:space="preserve"> ACL 2136 cap. III</w:t>
      </w:r>
    </w:p>
  </w:footnote>
  <w:footnote w:id="37">
    <w:p w14:paraId="04F2F3A8" w14:textId="77777777" w:rsidR="00A13ECD" w:rsidRDefault="00A13ECD">
      <w:pPr>
        <w:pStyle w:val="Testonotaapidipagina"/>
      </w:pPr>
      <w:r>
        <w:rPr>
          <w:rStyle w:val="Caratteredellanota"/>
        </w:rPr>
        <w:footnoteRef/>
      </w:r>
      <w:r>
        <w:tab/>
        <w:t xml:space="preserve"> ACL 2136 cap. XXXIII- XXXV</w:t>
      </w:r>
    </w:p>
  </w:footnote>
  <w:footnote w:id="38">
    <w:p w14:paraId="777A2422" w14:textId="77777777" w:rsidR="00A13ECD" w:rsidRDefault="00A13ECD">
      <w:r>
        <w:rPr>
          <w:rStyle w:val="Caratteredellanota"/>
        </w:rPr>
        <w:footnoteRef/>
      </w:r>
      <w:r>
        <w:rPr>
          <w:sz w:val="20"/>
          <w:szCs w:val="20"/>
        </w:rPr>
        <w:tab/>
        <w:t xml:space="preserve"> </w:t>
      </w:r>
      <w:r>
        <w:rPr>
          <w:iCs/>
          <w:sz w:val="20"/>
          <w:szCs w:val="20"/>
        </w:rPr>
        <w:t>AA.VV. Cosma e Damiano, in quaderni laurenziani, Firenze, 2002 pagg. 66-74</w:t>
      </w:r>
    </w:p>
    <w:p w14:paraId="23C91DB8" w14:textId="77777777" w:rsidR="00A13ECD" w:rsidRDefault="00A13ECD">
      <w:pPr>
        <w:pStyle w:val="Testonotaapidipagina"/>
      </w:pPr>
    </w:p>
  </w:footnote>
  <w:footnote w:id="39">
    <w:p w14:paraId="7585EEF0" w14:textId="77777777" w:rsidR="00A13ECD" w:rsidRDefault="00A13ECD">
      <w:pPr>
        <w:pStyle w:val="Testonotaapidipagina"/>
      </w:pPr>
      <w:r>
        <w:rPr>
          <w:rStyle w:val="Caratteredellanota"/>
        </w:rPr>
        <w:footnoteRef/>
      </w:r>
      <w:r>
        <w:tab/>
        <w:t xml:space="preserve"> ACL 2136 cap. VI</w:t>
      </w:r>
    </w:p>
  </w:footnote>
  <w:footnote w:id="40">
    <w:p w14:paraId="2E2C57E3" w14:textId="77777777" w:rsidR="00A13ECD" w:rsidRDefault="00A13ECD">
      <w:pPr>
        <w:pStyle w:val="Testonotaapidipagina"/>
      </w:pPr>
      <w:r>
        <w:rPr>
          <w:rStyle w:val="Caratteredellanota"/>
        </w:rPr>
        <w:footnoteRef/>
      </w:r>
      <w:r>
        <w:tab/>
        <w:t xml:space="preserve"> ACL 2136 cap. XXXXIII</w:t>
      </w:r>
    </w:p>
  </w:footnote>
  <w:footnote w:id="41">
    <w:p w14:paraId="76346C1D" w14:textId="77777777" w:rsidR="00A13ECD" w:rsidRDefault="00A13ECD">
      <w:pPr>
        <w:pStyle w:val="Testonotaapidipagina"/>
      </w:pPr>
      <w:r>
        <w:rPr>
          <w:rStyle w:val="Caratteredellanota"/>
        </w:rPr>
        <w:footnoteRef/>
      </w:r>
      <w:r>
        <w:tab/>
        <w:t xml:space="preserve"> ACL 2136 cap. XXXIX</w:t>
      </w:r>
    </w:p>
  </w:footnote>
  <w:footnote w:id="42">
    <w:p w14:paraId="54248DC5" w14:textId="77777777" w:rsidR="00A13ECD" w:rsidRDefault="00A13ECD">
      <w:pPr>
        <w:pStyle w:val="Testonotaapidipagina"/>
      </w:pPr>
      <w:r>
        <w:rPr>
          <w:rStyle w:val="Caratteredellanota"/>
        </w:rPr>
        <w:footnoteRef/>
      </w:r>
      <w:r>
        <w:tab/>
        <w:t xml:space="preserve"> ACL 2136 cap. XLVIIII</w:t>
      </w:r>
    </w:p>
  </w:footnote>
  <w:footnote w:id="43">
    <w:p w14:paraId="195F945D" w14:textId="77777777" w:rsidR="00A13ECD" w:rsidRDefault="00A13ECD">
      <w:pPr>
        <w:pStyle w:val="Testonotaapidipagina"/>
      </w:pPr>
      <w:r>
        <w:rPr>
          <w:rStyle w:val="Caratteredellanota"/>
        </w:rPr>
        <w:footnoteRef/>
      </w:r>
      <w:r>
        <w:tab/>
        <w:t xml:space="preserve"> A. Drigani, op. cit. pagg. 967-976</w:t>
      </w:r>
    </w:p>
  </w:footnote>
  <w:footnote w:id="44">
    <w:p w14:paraId="02CB6671" w14:textId="77777777" w:rsidR="00A13ECD" w:rsidRDefault="00A13ECD">
      <w:pPr>
        <w:pStyle w:val="Testonotaapidipagina"/>
      </w:pPr>
      <w:r>
        <w:rPr>
          <w:rStyle w:val="Caratteredellanota"/>
        </w:rPr>
        <w:footnoteRef/>
      </w:r>
      <w:r>
        <w:tab/>
        <w:t xml:space="preserve"> ACL 2133 approvate dal Cardinale Arcivescovo di Firenze Elia Dalla Costa il 28 gennaio del 1937</w:t>
      </w:r>
    </w:p>
  </w:footnote>
  <w:footnote w:id="45">
    <w:p w14:paraId="5025A86F" w14:textId="77777777" w:rsidR="00A13ECD" w:rsidRDefault="00A13ECD">
      <w:pPr>
        <w:pStyle w:val="Testonotaapidipagina"/>
      </w:pPr>
      <w:r>
        <w:rPr>
          <w:rStyle w:val="Caratteredellanota"/>
        </w:rPr>
        <w:footnoteRef/>
      </w:r>
      <w:r>
        <w:tab/>
        <w:t xml:space="preserve"> </w:t>
      </w:r>
      <w:r>
        <w:rPr>
          <w:rFonts w:cs="AIIHDK+TimesNewRoman"/>
          <w:color w:val="000000"/>
        </w:rPr>
        <w:t>cfr. C.J.C. del 1917  cann. 415-421 oppure F.X. Wernz,</w:t>
      </w:r>
      <w:r>
        <w:rPr>
          <w:rFonts w:cs="AIIHDK+TimesNewRoman"/>
          <w:i/>
          <w:color w:val="000000"/>
        </w:rPr>
        <w:t xml:space="preserve"> Ius Decretalium</w:t>
      </w:r>
      <w:r>
        <w:rPr>
          <w:rFonts w:cs="AIIHDK+TimesNewRoman"/>
          <w:color w:val="000000"/>
        </w:rPr>
        <w:t>, II, Roma, 1899 pagg. 921-973; e P. Torquebian</w:t>
      </w:r>
      <w:r>
        <w:rPr>
          <w:rFonts w:cs="AIIHDK+TimesNewRoman"/>
          <w:i/>
          <w:color w:val="000000"/>
        </w:rPr>
        <w:t>, Chapitres de Chanoines</w:t>
      </w:r>
      <w:r>
        <w:rPr>
          <w:rFonts w:cs="AIIHDK+TimesNewRoman"/>
          <w:color w:val="000000"/>
        </w:rPr>
        <w:t>, in Dictionnaire de Dorit Canonique, III, paris, 1942, pagg. 530-595</w:t>
      </w:r>
    </w:p>
  </w:footnote>
  <w:footnote w:id="46">
    <w:p w14:paraId="4FBB8AAF" w14:textId="77777777" w:rsidR="00A13ECD" w:rsidRDefault="00A13ECD">
      <w:pPr>
        <w:pStyle w:val="Testonotaapidipagina"/>
      </w:pPr>
      <w:r>
        <w:rPr>
          <w:rStyle w:val="Caratteredellanota"/>
        </w:rPr>
        <w:footnoteRef/>
      </w:r>
      <w:r>
        <w:tab/>
        <w:t xml:space="preserve"> G. Villani, </w:t>
      </w:r>
      <w:r>
        <w:rPr>
          <w:i/>
        </w:rPr>
        <w:t>La Chiesa fiorentina</w:t>
      </w:r>
      <w:r>
        <w:t>, Seminari a Firenze fino ad oggi, Firenze, 1992, pagg. 49-52</w:t>
      </w:r>
    </w:p>
  </w:footnote>
  <w:footnote w:id="47">
    <w:p w14:paraId="68C43CAE" w14:textId="77777777" w:rsidR="00A13ECD" w:rsidRDefault="00A13ECD">
      <w:pPr>
        <w:pStyle w:val="Testonotaapidipagina"/>
      </w:pPr>
      <w:r>
        <w:rPr>
          <w:rStyle w:val="Caratteredellanota"/>
        </w:rPr>
        <w:footnoteRef/>
      </w:r>
      <w:r>
        <w:tab/>
        <w:t xml:space="preserve"> ASL, </w:t>
      </w:r>
      <w:r>
        <w:rPr>
          <w:i/>
          <w:iCs/>
        </w:rPr>
        <w:t xml:space="preserve">Verbali delle adunanze 1889-1980 </w:t>
      </w:r>
      <w:r>
        <w:rPr>
          <w:iCs/>
        </w:rPr>
        <w:t>cfr. capp. Elezione Priore</w:t>
      </w:r>
    </w:p>
  </w:footnote>
  <w:footnote w:id="48">
    <w:p w14:paraId="4B58C8A2" w14:textId="77777777" w:rsidR="00A13ECD" w:rsidRDefault="00A13ECD">
      <w:pPr>
        <w:pStyle w:val="Testonotaapidipagina"/>
        <w:jc w:val="both"/>
      </w:pPr>
      <w:r>
        <w:rPr>
          <w:rStyle w:val="Caratteredellanota"/>
        </w:rPr>
        <w:footnoteRef/>
      </w:r>
      <w:r>
        <w:tab/>
        <w:t xml:space="preserve"> R.D., 7 luglio 1866, n° 3036 e R. D., 15 agosto 1867, n. 3848 </w:t>
      </w:r>
    </w:p>
  </w:footnote>
  <w:footnote w:id="49">
    <w:p w14:paraId="2815DE7F" w14:textId="77777777" w:rsidR="00A13ECD" w:rsidRDefault="00A13ECD">
      <w:pPr>
        <w:pStyle w:val="Testonotaapidipagina"/>
      </w:pPr>
      <w:r>
        <w:rPr>
          <w:rStyle w:val="Caratteredellanota"/>
        </w:rPr>
        <w:footnoteRef/>
      </w:r>
      <w:r>
        <w:tab/>
        <w:t xml:space="preserve"> Nel 1908, dopo molte vicissitudini,  il complesso laurenziano era diviso in tre parti: le Cappelle Medicee con relativi annessi di proprietà dello Stato, in consegna al Ministero della pubblica istruzione e per esso all’Ufficio regionale per la conservazione dei monumenti; i chiostri, relativi ambulacri e annessi, erano in parte a titolo di piena proprietà statale, in parte, a seguito del contratto di enfiteusi del 10 gennaio 1902, erano di pertinenza dello Stato, ma per l’utile dominio. Tutti questi beni erano in consegna al Ministero della pubblica istruzione e per esso all’Ufficio regionale dei monumenti e al direttore della Biblioteca Medicea Laurenziana. Infine la chiesa basilicale di S. Lorenzo, di regio patronato, e l’annessa canonica in consegna al parroco priore della stessa chiesa per il servizio del culto pubblico parrocchiale e come abitazione ecclesiastica.</w:t>
      </w:r>
    </w:p>
  </w:footnote>
  <w:footnote w:id="50">
    <w:p w14:paraId="6A057A56" w14:textId="77777777" w:rsidR="00A13ECD" w:rsidRDefault="00A13ECD">
      <w:pPr>
        <w:pStyle w:val="Testonotaapidipagina"/>
      </w:pPr>
      <w:r>
        <w:rPr>
          <w:rStyle w:val="Caratteredellanota"/>
        </w:rPr>
        <w:footnoteRef/>
      </w:r>
      <w:r>
        <w:tab/>
        <w:t xml:space="preserve"> Cfr. la legge del 27 maggio 1929, n.810, per l’esecuzione del trattato e del concordato. Su tutta la vicenda vedi ASL, </w:t>
      </w:r>
      <w:r>
        <w:rPr>
          <w:i/>
        </w:rPr>
        <w:t>Sacra Congregazione del Concilio. Riconoscimento civile. Costituzioni nuove</w:t>
      </w:r>
      <w:r>
        <w:t xml:space="preserve">, 1240, fasc. 6; fondamentali i verbali delle assemblee dal 1924 fino al 1934 consultabili in ASL, </w:t>
      </w:r>
      <w:r>
        <w:rPr>
          <w:i/>
          <w:iCs/>
        </w:rPr>
        <w:t>Verbali delle adunanze 1889-1980</w:t>
      </w:r>
    </w:p>
  </w:footnote>
  <w:footnote w:id="51">
    <w:p w14:paraId="6F332B07" w14:textId="77777777" w:rsidR="00A13ECD" w:rsidRDefault="00A13ECD">
      <w:pPr>
        <w:pStyle w:val="Testonotaapidipagina"/>
      </w:pPr>
      <w:r>
        <w:rPr>
          <w:rStyle w:val="Caratteredellanota"/>
        </w:rPr>
        <w:footnoteRef/>
      </w:r>
      <w:r>
        <w:tab/>
        <w:t xml:space="preserve"> ASL 2133 capp. IV e V</w:t>
      </w:r>
    </w:p>
  </w:footnote>
  <w:footnote w:id="52">
    <w:p w14:paraId="19069A11" w14:textId="77777777" w:rsidR="00A13ECD" w:rsidRDefault="00A13ECD">
      <w:pPr>
        <w:pStyle w:val="Testonotaapidipagina"/>
      </w:pPr>
      <w:r>
        <w:rPr>
          <w:rStyle w:val="Caratteredellanota"/>
        </w:rPr>
        <w:footnoteRef/>
      </w:r>
      <w:r>
        <w:tab/>
        <w:t xml:space="preserve"> Cfr. </w:t>
      </w:r>
      <w:r>
        <w:rPr>
          <w:rFonts w:cs="AIIHDK+TimesNewRoman"/>
          <w:color w:val="000000"/>
        </w:rPr>
        <w:t>C.J.C. (1917) cann. 101 3 162 § 3</w:t>
      </w:r>
    </w:p>
  </w:footnote>
  <w:footnote w:id="53">
    <w:p w14:paraId="2D512EA8" w14:textId="77777777" w:rsidR="00A13ECD" w:rsidRDefault="00A13ECD">
      <w:pPr>
        <w:pStyle w:val="Testonotaapidipagina"/>
      </w:pPr>
      <w:r>
        <w:rPr>
          <w:rStyle w:val="Caratteredellanota"/>
        </w:rPr>
        <w:footnoteRef/>
      </w:r>
      <w:r>
        <w:tab/>
        <w:t xml:space="preserve"> ASL 2133 capp. XI e XII</w:t>
      </w:r>
    </w:p>
  </w:footnote>
  <w:footnote w:id="54">
    <w:p w14:paraId="1E77AA84" w14:textId="77777777" w:rsidR="00A13ECD" w:rsidRDefault="00A13ECD">
      <w:pPr>
        <w:pStyle w:val="Testonotaapidipagina"/>
      </w:pPr>
      <w:r>
        <w:rPr>
          <w:rStyle w:val="Caratteredellanota"/>
        </w:rPr>
        <w:footnoteRef/>
      </w:r>
      <w:r>
        <w:tab/>
        <w:t xml:space="preserve"> DL 28 febbraio 1924, n. 354 e ASL 2133 cap. XII</w:t>
      </w:r>
    </w:p>
  </w:footnote>
  <w:footnote w:id="55">
    <w:p w14:paraId="6FD5485E" w14:textId="77777777" w:rsidR="00A13ECD" w:rsidRDefault="00A13ECD">
      <w:pPr>
        <w:pStyle w:val="Testonotaapidipagina"/>
      </w:pPr>
      <w:r>
        <w:rPr>
          <w:rStyle w:val="Caratteredellanota"/>
        </w:rPr>
        <w:footnoteRef/>
      </w:r>
      <w:r>
        <w:tab/>
        <w:t xml:space="preserve"> Cfr.</w:t>
      </w:r>
      <w:r>
        <w:rPr>
          <w:rFonts w:cs="AIIHDK+TimesNewRoman"/>
          <w:color w:val="000000"/>
        </w:rPr>
        <w:t xml:space="preserve"> Annuario Arcidiocesi di Firenze, 1937 pag. 32</w:t>
      </w:r>
    </w:p>
  </w:footnote>
  <w:footnote w:id="56">
    <w:p w14:paraId="644623C0" w14:textId="77777777" w:rsidR="00A13ECD" w:rsidRDefault="00A13ECD">
      <w:pPr>
        <w:pStyle w:val="Testonotaapidipagina"/>
      </w:pPr>
      <w:r>
        <w:rPr>
          <w:rStyle w:val="Caratteredellanota"/>
        </w:rPr>
        <w:footnoteRef/>
      </w:r>
      <w:r>
        <w:tab/>
        <w:t xml:space="preserve"> ASL 2133 cap. XX</w:t>
      </w:r>
    </w:p>
  </w:footnote>
  <w:footnote w:id="57">
    <w:p w14:paraId="71D66246" w14:textId="77777777" w:rsidR="00A13ECD" w:rsidRDefault="00A13ECD">
      <w:pPr>
        <w:pStyle w:val="Testonotaapidipagina"/>
      </w:pPr>
      <w:r>
        <w:rPr>
          <w:rStyle w:val="Caratteredellanota"/>
        </w:rPr>
        <w:footnoteRef/>
      </w:r>
      <w:r>
        <w:tab/>
        <w:t>AA.VV. op. cit., Concilium Oecumenicorum Decreta , Bologna, 1991, pagg. 766-769</w:t>
      </w:r>
    </w:p>
  </w:footnote>
  <w:footnote w:id="58">
    <w:p w14:paraId="48851C5A" w14:textId="77777777" w:rsidR="00A13ECD" w:rsidRDefault="00A13ECD">
      <w:pPr>
        <w:pStyle w:val="Testonotaapidipagina"/>
      </w:pPr>
      <w:r>
        <w:rPr>
          <w:rStyle w:val="Caratteredellanota"/>
        </w:rPr>
        <w:footnoteRef/>
      </w:r>
      <w:r>
        <w:tab/>
        <w:t xml:space="preserve"> </w:t>
      </w:r>
      <w:r>
        <w:rPr>
          <w:rStyle w:val="Enfasicorsivo"/>
          <w:i w:val="0"/>
          <w:color w:val="000000"/>
        </w:rPr>
        <w:t xml:space="preserve">cfr. Annuario </w:t>
      </w:r>
      <w:r>
        <w:rPr>
          <w:rFonts w:cs="AIIHDK+TimesNewRoman"/>
          <w:color w:val="000000"/>
        </w:rPr>
        <w:t>Arcidiocesi di Firenze, 1937 pagg. 32</w:t>
      </w:r>
      <w:r>
        <w:rPr>
          <w:rStyle w:val="Enfasicorsivo"/>
          <w:i w:val="0"/>
          <w:color w:val="000000"/>
        </w:rPr>
        <w:t>-34.</w:t>
      </w:r>
    </w:p>
  </w:footnote>
  <w:footnote w:id="59">
    <w:p w14:paraId="359D8B60" w14:textId="77777777" w:rsidR="00A13ECD" w:rsidRDefault="00A13ECD">
      <w:pPr>
        <w:pStyle w:val="NormaleWeb"/>
        <w:spacing w:before="0"/>
        <w:jc w:val="both"/>
      </w:pPr>
      <w:r>
        <w:rPr>
          <w:rStyle w:val="Caratteredellanota"/>
        </w:rPr>
        <w:footnoteRef/>
      </w:r>
      <w:r w:rsidRPr="00662012">
        <w:tab/>
        <w:t xml:space="preserve"> ASL 2133 cap.</w:t>
      </w:r>
      <w:r w:rsidRPr="00662012">
        <w:rPr>
          <w:rStyle w:val="Enfasicorsivo"/>
          <w:i w:val="0"/>
          <w:color w:val="000000"/>
          <w:sz w:val="20"/>
          <w:szCs w:val="20"/>
        </w:rPr>
        <w:t xml:space="preserve"> IX § 2 e §3</w:t>
      </w:r>
    </w:p>
  </w:footnote>
  <w:footnote w:id="60">
    <w:p w14:paraId="77F8C42E" w14:textId="77777777" w:rsidR="00A13ECD" w:rsidRDefault="00A13ECD">
      <w:pPr>
        <w:pStyle w:val="Testonotaapidipagina"/>
      </w:pPr>
      <w:r>
        <w:rPr>
          <w:rStyle w:val="Caratteredellanota"/>
        </w:rPr>
        <w:footnoteRef/>
      </w:r>
      <w:r>
        <w:tab/>
        <w:t xml:space="preserve"> Cfr. basta citare l’ Istruzione </w:t>
      </w:r>
      <w:r>
        <w:rPr>
          <w:rStyle w:val="ft"/>
          <w:rFonts w:cs="Arial"/>
          <w:bCs/>
          <w:i/>
          <w:color w:val="000000"/>
        </w:rPr>
        <w:t xml:space="preserve">Ut sive sollicite </w:t>
      </w:r>
      <w:r>
        <w:rPr>
          <w:rStyle w:val="ft"/>
          <w:rFonts w:cs="Arial"/>
          <w:bCs/>
          <w:color w:val="000000"/>
        </w:rPr>
        <w:t xml:space="preserve">del 1969 oppure il Motu Proprio </w:t>
      </w:r>
      <w:r>
        <w:rPr>
          <w:rStyle w:val="ft"/>
          <w:rFonts w:cs="Arial"/>
          <w:bCs/>
          <w:i/>
          <w:color w:val="000000"/>
        </w:rPr>
        <w:t xml:space="preserve">Pontificalia Insignia </w:t>
      </w:r>
      <w:r>
        <w:rPr>
          <w:rStyle w:val="ft"/>
          <w:rFonts w:cs="Arial"/>
          <w:bCs/>
          <w:color w:val="000000"/>
        </w:rPr>
        <w:t>del 1968</w:t>
      </w:r>
    </w:p>
  </w:footnote>
  <w:footnote w:id="61">
    <w:p w14:paraId="1D8AFE8A" w14:textId="77777777" w:rsidR="00A13ECD" w:rsidRDefault="00A13ECD">
      <w:pPr>
        <w:pStyle w:val="Testonotaapidipagina"/>
      </w:pPr>
      <w:r>
        <w:rPr>
          <w:rStyle w:val="Caratteredellanota"/>
        </w:rPr>
        <w:footnoteRef/>
      </w:r>
      <w:r>
        <w:tab/>
        <w:t xml:space="preserve"> Costituzioni  Capitolari dell’Insigne Basilica Laurenziana, Firenze, 2010, pag. 10</w:t>
      </w:r>
    </w:p>
  </w:footnote>
  <w:footnote w:id="62">
    <w:p w14:paraId="7853C846" w14:textId="77777777" w:rsidR="00A13ECD" w:rsidRDefault="00A13ECD">
      <w:pPr>
        <w:pStyle w:val="NormaleWeb"/>
        <w:tabs>
          <w:tab w:val="left" w:pos="360"/>
        </w:tabs>
        <w:spacing w:before="0"/>
        <w:jc w:val="both"/>
      </w:pPr>
      <w:r>
        <w:rPr>
          <w:rStyle w:val="Caratteredellanota"/>
        </w:rPr>
        <w:footnoteRef/>
      </w:r>
      <w:r>
        <w:tab/>
        <w:t xml:space="preserve"> </w:t>
      </w:r>
      <w:r>
        <w:rPr>
          <w:sz w:val="20"/>
          <w:szCs w:val="20"/>
        </w:rPr>
        <w:t>Costituzioni, op. cit., Firenze, 2010 Cap. I sez A, artt.3-5</w:t>
      </w:r>
    </w:p>
  </w:footnote>
  <w:footnote w:id="63">
    <w:p w14:paraId="413724F5" w14:textId="77777777" w:rsidR="00A13ECD" w:rsidRDefault="00A13ECD">
      <w:pPr>
        <w:pStyle w:val="Testonotaapidipagina"/>
      </w:pPr>
      <w:r>
        <w:rPr>
          <w:rStyle w:val="Caratteredellanota"/>
        </w:rPr>
        <w:footnoteRef/>
      </w:r>
      <w:r>
        <w:tab/>
        <w:t xml:space="preserve"> Costituzioni op. cit., Firenze, 2010, Cap. I sez. B artt. 6-10.</w:t>
      </w:r>
    </w:p>
  </w:footnote>
  <w:footnote w:id="64">
    <w:p w14:paraId="7B91AAAF" w14:textId="77777777" w:rsidR="00A13ECD" w:rsidRDefault="00A13ECD">
      <w:pPr>
        <w:pStyle w:val="Testonotaapidipagina"/>
      </w:pPr>
      <w:r>
        <w:rPr>
          <w:rStyle w:val="Caratteredellanota"/>
        </w:rPr>
        <w:footnoteRef/>
      </w:r>
      <w:r>
        <w:tab/>
        <w:t xml:space="preserve"> Costituzioni op. cit., Firenze, 2010, Cap. II art. 9</w:t>
      </w:r>
    </w:p>
  </w:footnote>
  <w:footnote w:id="65">
    <w:p w14:paraId="1E4DFA0E" w14:textId="77777777" w:rsidR="00A13ECD" w:rsidRDefault="00A13ECD">
      <w:pPr>
        <w:pStyle w:val="Testonotaapidipagina"/>
      </w:pPr>
      <w:r>
        <w:rPr>
          <w:rStyle w:val="Caratteredellanota"/>
        </w:rPr>
        <w:footnoteRef/>
      </w:r>
      <w:r>
        <w:tab/>
        <w:t xml:space="preserve"> Enchiridium Vaticanum, Bologna, 1982, vol I, </w:t>
      </w:r>
      <w:r>
        <w:rPr>
          <w:rStyle w:val="Enfasicorsivo"/>
          <w:i w:val="0"/>
          <w:color w:val="000000"/>
        </w:rPr>
        <w:t xml:space="preserve"> Presbyterorum ordinis  n. 8,</w:t>
      </w:r>
    </w:p>
  </w:footnote>
  <w:footnote w:id="66">
    <w:p w14:paraId="307EB5F1" w14:textId="77777777" w:rsidR="00A13ECD" w:rsidRDefault="00A13ECD">
      <w:pPr>
        <w:pStyle w:val="Testonotaapidipagina"/>
      </w:pPr>
      <w:r>
        <w:rPr>
          <w:rStyle w:val="Caratteredellanota"/>
        </w:rPr>
        <w:footnoteRef/>
      </w:r>
      <w:r>
        <w:tab/>
        <w:t xml:space="preserve"> Costituzioni op. cit., Firenze, 2010, Cap. II art. 7</w:t>
      </w:r>
    </w:p>
  </w:footnote>
  <w:footnote w:id="67">
    <w:p w14:paraId="0816A3A3" w14:textId="77777777" w:rsidR="00A13ECD" w:rsidRDefault="00A13ECD">
      <w:pPr>
        <w:pStyle w:val="NormaleWeb"/>
        <w:tabs>
          <w:tab w:val="left" w:pos="360"/>
        </w:tabs>
        <w:spacing w:before="0"/>
        <w:jc w:val="both"/>
      </w:pPr>
      <w:r>
        <w:rPr>
          <w:rStyle w:val="Caratteredellanota"/>
        </w:rPr>
        <w:footnoteRef/>
      </w:r>
      <w:r>
        <w:tab/>
        <w:t xml:space="preserve"> </w:t>
      </w:r>
      <w:r>
        <w:rPr>
          <w:sz w:val="20"/>
          <w:szCs w:val="20"/>
        </w:rPr>
        <w:t>Costituzioni op. cit., Firenze, 2010, Cap. X art. 4</w:t>
      </w:r>
    </w:p>
  </w:footnote>
  <w:footnote w:id="68">
    <w:p w14:paraId="679069D2" w14:textId="77777777" w:rsidR="00A13ECD" w:rsidRDefault="00A13ECD">
      <w:pPr>
        <w:pStyle w:val="NormaleWeb"/>
        <w:tabs>
          <w:tab w:val="left" w:pos="360"/>
        </w:tabs>
        <w:spacing w:before="0"/>
        <w:jc w:val="both"/>
      </w:pPr>
      <w:r>
        <w:rPr>
          <w:rStyle w:val="Caratteredellanota"/>
        </w:rPr>
        <w:footnoteRef/>
      </w:r>
      <w:r>
        <w:rPr>
          <w:sz w:val="20"/>
          <w:szCs w:val="20"/>
        </w:rPr>
        <w:tab/>
        <w:t xml:space="preserve"> Costituzioni op. cit., Firenze, 2010, Cap. I artt. 8-9</w:t>
      </w:r>
    </w:p>
  </w:footnote>
  <w:footnote w:id="69">
    <w:p w14:paraId="2A3893AD" w14:textId="77777777" w:rsidR="00A13ECD" w:rsidRDefault="00A13ECD" w:rsidP="008A3833">
      <w:pPr>
        <w:pStyle w:val="NormaleWeb"/>
        <w:tabs>
          <w:tab w:val="left" w:pos="360"/>
        </w:tabs>
        <w:spacing w:before="0"/>
        <w:jc w:val="both"/>
      </w:pPr>
      <w:r>
        <w:rPr>
          <w:rStyle w:val="Caratteredellanota"/>
        </w:rPr>
        <w:footnoteRef/>
      </w:r>
      <w:r>
        <w:tab/>
        <w:t xml:space="preserve"> </w:t>
      </w:r>
      <w:r w:rsidRPr="008A3833">
        <w:rPr>
          <w:sz w:val="20"/>
          <w:szCs w:val="20"/>
        </w:rPr>
        <w:t>Costituzioni op. cit., Firenze, 2010, Mons. Angiolo Livi, lettera introduttiva pag.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AF048" w14:textId="77777777" w:rsidR="00AD68D8" w:rsidRDefault="00AD68D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D49C0" w14:textId="77777777" w:rsidR="00AD68D8" w:rsidRDefault="00AD68D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F4E04" w14:textId="77777777" w:rsidR="00AD68D8" w:rsidRDefault="00AD68D8">
    <w:pPr>
      <w:pStyle w:val="Intestazion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32B"/>
    <w:rsid w:val="000501DC"/>
    <w:rsid w:val="000C3780"/>
    <w:rsid w:val="00130F70"/>
    <w:rsid w:val="00137721"/>
    <w:rsid w:val="001428D3"/>
    <w:rsid w:val="0016032B"/>
    <w:rsid w:val="00314138"/>
    <w:rsid w:val="003F3561"/>
    <w:rsid w:val="00662012"/>
    <w:rsid w:val="0073146D"/>
    <w:rsid w:val="008A3833"/>
    <w:rsid w:val="008D00C3"/>
    <w:rsid w:val="008D1DC9"/>
    <w:rsid w:val="008E63A9"/>
    <w:rsid w:val="00955D42"/>
    <w:rsid w:val="00960F95"/>
    <w:rsid w:val="00A13ECD"/>
    <w:rsid w:val="00A56713"/>
    <w:rsid w:val="00A73DDC"/>
    <w:rsid w:val="00AA3488"/>
    <w:rsid w:val="00AD68D8"/>
    <w:rsid w:val="00BE4D39"/>
    <w:rsid w:val="00BF43CF"/>
    <w:rsid w:val="00C84492"/>
    <w:rsid w:val="00CD3515"/>
    <w:rsid w:val="00DD5607"/>
    <w:rsid w:val="00DF5700"/>
    <w:rsid w:val="00FD3F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CB3FF"/>
  <w15:chartTrackingRefBased/>
  <w15:docId w15:val="{2A0B590F-18AC-8F4B-91D9-C6F1BBD3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pPr>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Pr>
      <w:i w:val="0"/>
    </w:rPr>
  </w:style>
  <w:style w:type="character" w:customStyle="1" w:styleId="WW8Num5z0">
    <w:name w:val="WW8Num5z0"/>
    <w:rPr>
      <w:rFonts w:ascii="Symbol" w:hAnsi="Symbol" w:cs="Symbol"/>
      <w:i w:val="0"/>
    </w:rPr>
  </w:style>
  <w:style w:type="character" w:customStyle="1" w:styleId="WW8Num6z0">
    <w:name w:val="WW8Num6z0"/>
    <w:rPr>
      <w:rFonts w:ascii="Times New Roman" w:eastAsia="Times New Roman" w:hAnsi="Times New Roman" w:cs="Times New Roman"/>
      <w:i w:val="0"/>
      <w:sz w:val="8"/>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Enfasicorsivo">
    <w:name w:val="Emphasis"/>
    <w:qFormat/>
    <w:rPr>
      <w:i/>
      <w:iCs/>
    </w:rPr>
  </w:style>
  <w:style w:type="character" w:customStyle="1" w:styleId="Caratteredellanota">
    <w:name w:val="Carattere della nota"/>
    <w:rPr>
      <w:vertAlign w:val="superscript"/>
    </w:rPr>
  </w:style>
  <w:style w:type="character" w:customStyle="1" w:styleId="ft">
    <w:name w:val="ft"/>
    <w:basedOn w:val="Carpredefinitoparagrafo1"/>
  </w:style>
  <w:style w:type="character" w:styleId="Numeropagina">
    <w:name w:val="page number"/>
    <w:basedOn w:val="Carpredefinitoparagrafo1"/>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pPr>
      <w:overflowPunct w:val="0"/>
      <w:autoSpaceDE w:val="0"/>
      <w:jc w:val="both"/>
      <w:textAlignment w:val="baseline"/>
    </w:pPr>
    <w:rPr>
      <w:szCs w:val="20"/>
    </w:rPr>
  </w:style>
  <w:style w:type="paragraph" w:styleId="Elenco">
    <w:name w:val="List"/>
    <w:basedOn w:val="Corpodel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NormaleWeb">
    <w:name w:val="Normal (Web)"/>
    <w:basedOn w:val="Normale"/>
    <w:pPr>
      <w:spacing w:before="280" w:after="280"/>
    </w:pPr>
  </w:style>
  <w:style w:type="paragraph" w:customStyle="1" w:styleId="Normale1">
    <w:name w:val="Normale1"/>
    <w:pPr>
      <w:suppressAutoHyphens/>
      <w:autoSpaceDE w:val="0"/>
    </w:pPr>
    <w:rPr>
      <w:rFonts w:ascii="AIIHDK+TimesNewRoman" w:hAnsi="AIIHDK+TimesNewRoman" w:cs="AIIHDK+TimesNewRoman"/>
      <w:color w:val="000000"/>
      <w:sz w:val="24"/>
      <w:szCs w:val="24"/>
      <w:lang w:eastAsia="zh-CN"/>
    </w:rPr>
  </w:style>
  <w:style w:type="paragraph" w:styleId="Testonotaapidipagina">
    <w:name w:val="footnote text"/>
    <w:basedOn w:val="Normale"/>
    <w:rPr>
      <w:sz w:val="20"/>
      <w:szCs w:val="20"/>
    </w:rPr>
  </w:style>
  <w:style w:type="paragraph" w:styleId="Testofumetto">
    <w:name w:val="Balloon Text"/>
    <w:basedOn w:val="Normale"/>
    <w:rPr>
      <w:rFonts w:ascii="Tahoma" w:hAnsi="Tahoma" w:cs="Tahoma"/>
      <w:sz w:val="16"/>
      <w:szCs w:val="16"/>
    </w:rPr>
  </w:style>
  <w:style w:type="paragraph" w:styleId="Pidipagina">
    <w:name w:val="footer"/>
    <w:basedOn w:val="Normale"/>
    <w:pPr>
      <w:tabs>
        <w:tab w:val="center" w:pos="4819"/>
        <w:tab w:val="right" w:pos="9638"/>
      </w:tabs>
    </w:pPr>
  </w:style>
  <w:style w:type="paragraph" w:customStyle="1" w:styleId="Contenutocornice">
    <w:name w:val="Contenuto cornice"/>
    <w:basedOn w:val="Corpodeltesto"/>
  </w:style>
  <w:style w:type="paragraph" w:styleId="Intestazione">
    <w:name w:val="header"/>
    <w:basedOn w:val="Normale"/>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t.wikipedia.org/wiki/Vescovo_di_Milano" TargetMode="External"/><Relationship Id="rId13" Type="http://schemas.openxmlformats.org/officeDocument/2006/relationships/hyperlink" Target="http://it.wikipedia.org/wiki/San_Vittore_di_Calcedonia" TargetMode="External"/><Relationship Id="rId18" Type="http://schemas.openxmlformats.org/officeDocument/2006/relationships/hyperlink" Target="http://it.wikipedia.org/wiki/Santi_Gervasio_e_Protasio"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it.wikipedia.org/wiki/386" TargetMode="External"/><Relationship Id="rId12" Type="http://schemas.openxmlformats.org/officeDocument/2006/relationships/hyperlink" Target="http://it.wikipedia.org/wiki/Satiro_di_Milano" TargetMode="External"/><Relationship Id="rId17" Type="http://schemas.openxmlformats.org/officeDocument/2006/relationships/hyperlink" Target="http://it.wikipedia.org/wiki/Santa_Valeria"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it.wikipedia.org/wiki/San_Felice" TargetMode="External"/><Relationship Id="rId20" Type="http://schemas.openxmlformats.org/officeDocument/2006/relationships/hyperlink" Target="http://it.wikipedia.org/wiki/Filologia" TargetMode="External"/><Relationship Id="rId1" Type="http://schemas.openxmlformats.org/officeDocument/2006/relationships/styles" Target="styles.xml"/><Relationship Id="rId6" Type="http://schemas.openxmlformats.org/officeDocument/2006/relationships/hyperlink" Target="http://it.wikipedia.org/wiki/379" TargetMode="External"/><Relationship Id="rId11" Type="http://schemas.openxmlformats.org/officeDocument/2006/relationships/hyperlink" Target="http://it.wikipedia.org/wiki/Reliquia"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it.wikipedia.org/wiki/San_Vital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it.wikipedia.org/wiki/Martirio" TargetMode="External"/><Relationship Id="rId19" Type="http://schemas.openxmlformats.org/officeDocument/2006/relationships/hyperlink" Target="http://it.wikipedia.org/wiki/Letterato" TargetMode="External"/><Relationship Id="rId4" Type="http://schemas.openxmlformats.org/officeDocument/2006/relationships/footnotes" Target="footnotes.xml"/><Relationship Id="rId9" Type="http://schemas.openxmlformats.org/officeDocument/2006/relationships/hyperlink" Target="http://it.wikipedia.org/wiki/Sant'Ambrogio" TargetMode="External"/><Relationship Id="rId14" Type="http://schemas.openxmlformats.org/officeDocument/2006/relationships/hyperlink" Target="http://it.wikipedia.org/wiki/San_Nabore"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8919</Words>
  <Characters>50842</Characters>
  <Application>Microsoft Office Word</Application>
  <DocSecurity>0</DocSecurity>
  <Lines>423</Lines>
  <Paragraphs>119</Paragraphs>
  <ScaleCrop>false</ScaleCrop>
  <HeadingPairs>
    <vt:vector size="2" baseType="variant">
      <vt:variant>
        <vt:lpstr>Titolo</vt:lpstr>
      </vt:variant>
      <vt:variant>
        <vt:i4>1</vt:i4>
      </vt:variant>
    </vt:vector>
  </HeadingPairs>
  <TitlesOfParts>
    <vt:vector size="1" baseType="lpstr">
      <vt:lpstr>                                                                     PREMESSA</vt:lpstr>
    </vt:vector>
  </TitlesOfParts>
  <Company/>
  <LinksUpToDate>false</LinksUpToDate>
  <CharactersWithSpaces>59642</CharactersWithSpaces>
  <SharedDoc>false</SharedDoc>
  <HLinks>
    <vt:vector size="90" baseType="variant">
      <vt:variant>
        <vt:i4>7536687</vt:i4>
      </vt:variant>
      <vt:variant>
        <vt:i4>42</vt:i4>
      </vt:variant>
      <vt:variant>
        <vt:i4>0</vt:i4>
      </vt:variant>
      <vt:variant>
        <vt:i4>5</vt:i4>
      </vt:variant>
      <vt:variant>
        <vt:lpwstr>http://it.wikipedia.org/wiki/Filologia</vt:lpwstr>
      </vt:variant>
      <vt:variant>
        <vt:lpwstr/>
      </vt:variant>
      <vt:variant>
        <vt:i4>6291512</vt:i4>
      </vt:variant>
      <vt:variant>
        <vt:i4>39</vt:i4>
      </vt:variant>
      <vt:variant>
        <vt:i4>0</vt:i4>
      </vt:variant>
      <vt:variant>
        <vt:i4>5</vt:i4>
      </vt:variant>
      <vt:variant>
        <vt:lpwstr>http://it.wikipedia.org/wiki/Letterato</vt:lpwstr>
      </vt:variant>
      <vt:variant>
        <vt:lpwstr/>
      </vt:variant>
      <vt:variant>
        <vt:i4>6291480</vt:i4>
      </vt:variant>
      <vt:variant>
        <vt:i4>36</vt:i4>
      </vt:variant>
      <vt:variant>
        <vt:i4>0</vt:i4>
      </vt:variant>
      <vt:variant>
        <vt:i4>5</vt:i4>
      </vt:variant>
      <vt:variant>
        <vt:lpwstr>http://it.wikipedia.org/wiki/Santi_Gervasio_e_Protasio</vt:lpwstr>
      </vt:variant>
      <vt:variant>
        <vt:lpwstr/>
      </vt:variant>
      <vt:variant>
        <vt:i4>6684680</vt:i4>
      </vt:variant>
      <vt:variant>
        <vt:i4>33</vt:i4>
      </vt:variant>
      <vt:variant>
        <vt:i4>0</vt:i4>
      </vt:variant>
      <vt:variant>
        <vt:i4>5</vt:i4>
      </vt:variant>
      <vt:variant>
        <vt:lpwstr>http://it.wikipedia.org/wiki/Santa_Valeria</vt:lpwstr>
      </vt:variant>
      <vt:variant>
        <vt:lpwstr/>
      </vt:variant>
      <vt:variant>
        <vt:i4>6750237</vt:i4>
      </vt:variant>
      <vt:variant>
        <vt:i4>30</vt:i4>
      </vt:variant>
      <vt:variant>
        <vt:i4>0</vt:i4>
      </vt:variant>
      <vt:variant>
        <vt:i4>5</vt:i4>
      </vt:variant>
      <vt:variant>
        <vt:lpwstr>http://it.wikipedia.org/wiki/San_Felice</vt:lpwstr>
      </vt:variant>
      <vt:variant>
        <vt:lpwstr/>
      </vt:variant>
      <vt:variant>
        <vt:i4>6291481</vt:i4>
      </vt:variant>
      <vt:variant>
        <vt:i4>27</vt:i4>
      </vt:variant>
      <vt:variant>
        <vt:i4>0</vt:i4>
      </vt:variant>
      <vt:variant>
        <vt:i4>5</vt:i4>
      </vt:variant>
      <vt:variant>
        <vt:lpwstr>http://it.wikipedia.org/wiki/San_Vitale</vt:lpwstr>
      </vt:variant>
      <vt:variant>
        <vt:lpwstr/>
      </vt:variant>
      <vt:variant>
        <vt:i4>7340063</vt:i4>
      </vt:variant>
      <vt:variant>
        <vt:i4>24</vt:i4>
      </vt:variant>
      <vt:variant>
        <vt:i4>0</vt:i4>
      </vt:variant>
      <vt:variant>
        <vt:i4>5</vt:i4>
      </vt:variant>
      <vt:variant>
        <vt:lpwstr>http://it.wikipedia.org/wiki/San_Nabore</vt:lpwstr>
      </vt:variant>
      <vt:variant>
        <vt:lpwstr/>
      </vt:variant>
      <vt:variant>
        <vt:i4>5505060</vt:i4>
      </vt:variant>
      <vt:variant>
        <vt:i4>21</vt:i4>
      </vt:variant>
      <vt:variant>
        <vt:i4>0</vt:i4>
      </vt:variant>
      <vt:variant>
        <vt:i4>5</vt:i4>
      </vt:variant>
      <vt:variant>
        <vt:lpwstr>http://it.wikipedia.org/wiki/San_Vittore_di_Calcedonia</vt:lpwstr>
      </vt:variant>
      <vt:variant>
        <vt:lpwstr/>
      </vt:variant>
      <vt:variant>
        <vt:i4>4128891</vt:i4>
      </vt:variant>
      <vt:variant>
        <vt:i4>18</vt:i4>
      </vt:variant>
      <vt:variant>
        <vt:i4>0</vt:i4>
      </vt:variant>
      <vt:variant>
        <vt:i4>5</vt:i4>
      </vt:variant>
      <vt:variant>
        <vt:lpwstr>http://it.wikipedia.org/wiki/Satiro_di_Milano</vt:lpwstr>
      </vt:variant>
      <vt:variant>
        <vt:lpwstr/>
      </vt:variant>
      <vt:variant>
        <vt:i4>1376342</vt:i4>
      </vt:variant>
      <vt:variant>
        <vt:i4>15</vt:i4>
      </vt:variant>
      <vt:variant>
        <vt:i4>0</vt:i4>
      </vt:variant>
      <vt:variant>
        <vt:i4>5</vt:i4>
      </vt:variant>
      <vt:variant>
        <vt:lpwstr>http://it.wikipedia.org/wiki/Reliquia</vt:lpwstr>
      </vt:variant>
      <vt:variant>
        <vt:lpwstr/>
      </vt:variant>
      <vt:variant>
        <vt:i4>786504</vt:i4>
      </vt:variant>
      <vt:variant>
        <vt:i4>12</vt:i4>
      </vt:variant>
      <vt:variant>
        <vt:i4>0</vt:i4>
      </vt:variant>
      <vt:variant>
        <vt:i4>5</vt:i4>
      </vt:variant>
      <vt:variant>
        <vt:lpwstr>http://it.wikipedia.org/wiki/Martirio</vt:lpwstr>
      </vt:variant>
      <vt:variant>
        <vt:lpwstr/>
      </vt:variant>
      <vt:variant>
        <vt:i4>720909</vt:i4>
      </vt:variant>
      <vt:variant>
        <vt:i4>9</vt:i4>
      </vt:variant>
      <vt:variant>
        <vt:i4>0</vt:i4>
      </vt:variant>
      <vt:variant>
        <vt:i4>5</vt:i4>
      </vt:variant>
      <vt:variant>
        <vt:lpwstr>http://it.wikipedia.org/wiki/Sant%27Ambrogio</vt:lpwstr>
      </vt:variant>
      <vt:variant>
        <vt:lpwstr/>
      </vt:variant>
      <vt:variant>
        <vt:i4>4849670</vt:i4>
      </vt:variant>
      <vt:variant>
        <vt:i4>6</vt:i4>
      </vt:variant>
      <vt:variant>
        <vt:i4>0</vt:i4>
      </vt:variant>
      <vt:variant>
        <vt:i4>5</vt:i4>
      </vt:variant>
      <vt:variant>
        <vt:lpwstr>http://it.wikipedia.org/wiki/Vescovo_di_Milano</vt:lpwstr>
      </vt:variant>
      <vt:variant>
        <vt:lpwstr/>
      </vt:variant>
      <vt:variant>
        <vt:i4>1441815</vt:i4>
      </vt:variant>
      <vt:variant>
        <vt:i4>3</vt:i4>
      </vt:variant>
      <vt:variant>
        <vt:i4>0</vt:i4>
      </vt:variant>
      <vt:variant>
        <vt:i4>5</vt:i4>
      </vt:variant>
      <vt:variant>
        <vt:lpwstr>http://it.wikipedia.org/wiki/386</vt:lpwstr>
      </vt:variant>
      <vt:variant>
        <vt:lpwstr/>
      </vt:variant>
      <vt:variant>
        <vt:i4>1638424</vt:i4>
      </vt:variant>
      <vt:variant>
        <vt:i4>0</vt:i4>
      </vt:variant>
      <vt:variant>
        <vt:i4>0</vt:i4>
      </vt:variant>
      <vt:variant>
        <vt:i4>5</vt:i4>
      </vt:variant>
      <vt:variant>
        <vt:lpwstr>http://it.wikipedia.org/wiki/379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PREMESSA</dc:title>
  <dc:subject/>
  <dc:creator>utenza</dc:creator>
  <cp:keywords/>
  <cp:lastModifiedBy>Paolo Capecchi</cp:lastModifiedBy>
  <cp:revision>2</cp:revision>
  <cp:lastPrinted>2012-10-17T22:29:00Z</cp:lastPrinted>
  <dcterms:created xsi:type="dcterms:W3CDTF">2026-10-19T11:13:00Z</dcterms:created>
  <dcterms:modified xsi:type="dcterms:W3CDTF">2026-10-19T11:13:00Z</dcterms:modified>
</cp:coreProperties>
</file>